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F7B12" w14:textId="77777777" w:rsidR="00BD5DE4" w:rsidRDefault="00FF1514">
      <w:pPr>
        <w:jc w:val="center"/>
      </w:pPr>
      <w:r>
        <w:rPr>
          <w:b/>
          <w:sz w:val="28"/>
        </w:rPr>
        <w:t>2026 LOUISIANA SCHOOL LAW WORKSHOP</w:t>
      </w:r>
    </w:p>
    <w:p w14:paraId="67F1389B" w14:textId="77777777" w:rsidR="00BD5DE4" w:rsidRDefault="00BD5DE4"/>
    <w:p w14:paraId="2C156EB2" w14:textId="77777777" w:rsidR="00BD5DE4" w:rsidRDefault="00FF1514">
      <w:pPr>
        <w:pStyle w:val="Title"/>
        <w:jc w:val="center"/>
      </w:pPr>
      <w:r>
        <w:t xml:space="preserve">BAD </w:t>
      </w:r>
      <w:proofErr w:type="gramStart"/>
      <w:r>
        <w:t>BOYS</w:t>
      </w:r>
      <w:proofErr w:type="gramEnd"/>
      <w:r>
        <w:t xml:space="preserve"> BAD BOYS:</w:t>
      </w:r>
      <w:r>
        <w:br/>
        <w:t>WHAT'CHA GONNA DO WHEN THE EEOC COMES FOR YOU?</w:t>
      </w:r>
    </w:p>
    <w:p w14:paraId="4D447B14" w14:textId="77777777" w:rsidR="00BD5DE4" w:rsidRDefault="00FF1514">
      <w:pPr>
        <w:pStyle w:val="CenteredSubtitle"/>
      </w:pPr>
      <w:r>
        <w:t xml:space="preserve">A Practical Guide to Preventing, </w:t>
      </w:r>
      <w:proofErr w:type="gramStart"/>
      <w:r>
        <w:t>Responding</w:t>
      </w:r>
      <w:proofErr w:type="gramEnd"/>
      <w:r>
        <w:t xml:space="preserve"> to, and Defending EEOC Charges</w:t>
      </w:r>
    </w:p>
    <w:p w14:paraId="573294FE" w14:textId="77777777" w:rsidR="00BD5DE4" w:rsidRDefault="00BD5DE4"/>
    <w:p w14:paraId="4A8AAF3C" w14:textId="702E257F" w:rsidR="00BD5DE4" w:rsidRDefault="00FF1514">
      <w:pPr>
        <w:pStyle w:val="CenteredSubtitle"/>
      </w:pPr>
      <w:r>
        <w:t>SESSION 11</w:t>
      </w:r>
    </w:p>
    <w:p w14:paraId="2E05DF01" w14:textId="77777777" w:rsidR="00BD5DE4" w:rsidRDefault="00BD5DE4"/>
    <w:p w14:paraId="3248FD36" w14:textId="77777777" w:rsidR="00BD5DE4" w:rsidRDefault="00FF1514">
      <w:pPr>
        <w:pStyle w:val="CenteredSubtitle"/>
      </w:pPr>
      <w:r>
        <w:t>PRESENTERS</w:t>
      </w:r>
    </w:p>
    <w:p w14:paraId="3526BDE9" w14:textId="77777777" w:rsidR="00BD5DE4" w:rsidRDefault="00FF1514">
      <w:pPr>
        <w:pStyle w:val="CenteredSubtitle"/>
      </w:pPr>
      <w:r>
        <w:t>Ashley U. Johnson-Firven, Esq.</w:t>
      </w:r>
      <w:r>
        <w:br/>
        <w:t>Thomas M. Hayes, Esq.</w:t>
      </w:r>
    </w:p>
    <w:p w14:paraId="2A505D73" w14:textId="77777777" w:rsidR="00BD5DE4" w:rsidRDefault="00BD5DE4"/>
    <w:p w14:paraId="681DDB64" w14:textId="77777777" w:rsidR="00BD5DE4" w:rsidRDefault="00FF1514">
      <w:pPr>
        <w:pStyle w:val="CenteredSubtitle"/>
      </w:pPr>
      <w:r>
        <w:t>Prepared for educational and CLE purposes. This paper discusses federal employment-discrimination law and is not legal advice for a particular district, employee, or claim.</w:t>
      </w:r>
    </w:p>
    <w:p w14:paraId="5C768AA1" w14:textId="77777777" w:rsidR="00BD5DE4" w:rsidRDefault="00FF1514">
      <w:r>
        <w:br w:type="page"/>
      </w:r>
    </w:p>
    <w:p w14:paraId="4AB133A1" w14:textId="77777777" w:rsidR="00BD5DE4" w:rsidRDefault="00FF1514">
      <w:pPr>
        <w:pStyle w:val="Heading1"/>
      </w:pPr>
      <w:r>
        <w:lastRenderedPageBreak/>
        <w:t>EXECUTIVE SUMMARY</w:t>
      </w:r>
    </w:p>
    <w:p w14:paraId="0B168BF8" w14:textId="77777777" w:rsidR="00BD5DE4" w:rsidRDefault="00FF1514">
      <w:r>
        <w:t>An EEOC charge is an allegation—not a finding of liability and not, by itself, a lawsuit. But for a school district, it should be treated as a litigation-risk event from day one. The district's response should be deliberate: calendar the deadline, preserve evidence, identify the decision-makers, investigate the facts, protect against retaliation, evaluate any accommodation or leave issues, and prepare a position statement that accurately reflects the evidence.</w:t>
      </w:r>
    </w:p>
    <w:p w14:paraId="7B0472D2" w14:textId="77777777" w:rsidR="00BD5DE4" w:rsidRDefault="00FF1514">
      <w:r>
        <w:t>This paper focuses exclusively on employment matters within the EEOC's enforcement framework. It is designed for school boards, superintendents, human-resources professionals, principals, supervisors, and counsel. It emphasizes the practical decisions that often determine whether a charge is resolved administratively or becomes expensive litigation.</w:t>
      </w:r>
    </w:p>
    <w:p w14:paraId="74B5D84C" w14:textId="77777777" w:rsidR="00BD5DE4" w:rsidRDefault="00FF1514">
      <w:pPr>
        <w:pStyle w:val="Heading1"/>
      </w:pPr>
      <w:r>
        <w:t>LEARNING OBJECTIVES</w:t>
      </w:r>
    </w:p>
    <w:p w14:paraId="7F37DF1B" w14:textId="77777777" w:rsidR="00BD5DE4" w:rsidRDefault="00FF1514">
      <w:pPr>
        <w:pStyle w:val="ListBullet"/>
        <w:spacing w:after="40"/>
      </w:pPr>
      <w:r>
        <w:t>Identify the major federal employment statutes enforced by the EEOC and the claims most likely to affect school districts.</w:t>
      </w:r>
    </w:p>
    <w:p w14:paraId="1D77069F" w14:textId="77777777" w:rsidR="00BD5DE4" w:rsidRDefault="00FF1514">
      <w:pPr>
        <w:pStyle w:val="ListBullet"/>
        <w:spacing w:after="40"/>
      </w:pPr>
      <w:r>
        <w:t>Recognize the immediate steps that should be taken after an EEOC charge is received.</w:t>
      </w:r>
    </w:p>
    <w:p w14:paraId="7A45C651" w14:textId="77777777" w:rsidR="00BD5DE4" w:rsidRDefault="00FF1514">
      <w:pPr>
        <w:pStyle w:val="ListBullet"/>
        <w:spacing w:after="40"/>
      </w:pPr>
      <w:r>
        <w:t>Understand administrative exhaustion and filing deadlines without treating every federal employment claim as procedurally identical.</w:t>
      </w:r>
    </w:p>
    <w:p w14:paraId="61D61958" w14:textId="77777777" w:rsidR="00BD5DE4" w:rsidRDefault="00FF1514">
      <w:pPr>
        <w:pStyle w:val="ListBullet"/>
        <w:spacing w:after="40"/>
      </w:pPr>
      <w:r>
        <w:t>Evaluate discrimination, harassment, retaliation, pregnancy accommodation, religious accommodation, disability accommodation, and leave issues.</w:t>
      </w:r>
    </w:p>
    <w:p w14:paraId="6D9731D6" w14:textId="77777777" w:rsidR="00BD5DE4" w:rsidRDefault="00FF1514">
      <w:pPr>
        <w:pStyle w:val="ListBullet"/>
        <w:spacing w:after="40"/>
      </w:pPr>
      <w:r>
        <w:t>Develop an effective investigation and chronology before submitting an EEOC position statement.</w:t>
      </w:r>
    </w:p>
    <w:p w14:paraId="5C5FDC05" w14:textId="77777777" w:rsidR="00BD5DE4" w:rsidRDefault="00FF1514">
      <w:pPr>
        <w:pStyle w:val="ListBullet"/>
        <w:spacing w:after="40"/>
      </w:pPr>
      <w:r>
        <w:t>Reduce avoidable risk through consistent policies, supervisor training, and contemporaneous documentation.</w:t>
      </w:r>
    </w:p>
    <w:p w14:paraId="6488A0A1" w14:textId="77777777" w:rsidR="00BD5DE4" w:rsidRDefault="00FF1514">
      <w:pPr>
        <w:pStyle w:val="Heading1"/>
      </w:pPr>
      <w:r>
        <w:t>I. THE EEOC AND THE SCHOOL DISTRICT</w:t>
      </w:r>
    </w:p>
    <w:p w14:paraId="68872125" w14:textId="77777777" w:rsidR="00BD5DE4" w:rsidRDefault="00FF1514">
      <w:r>
        <w:t>The Equal Employment Opportunity Commission is the federal agency responsible for enforcing several federal employment-discrimination laws. A public school district can be an employer covered by these statutes, and the fact that the employer is a governmental entity does not place its employment decisions outside the federal discrimination laws.</w:t>
      </w:r>
    </w:p>
    <w:p w14:paraId="230F6E6C" w14:textId="77777777" w:rsidR="00BD5DE4" w:rsidRDefault="00FF1514">
      <w:r>
        <w:t>The most frequently encountered statutes are Title VII of the Civil Rights Act of 1964, the Americans with Disabilities Act, the Age Discrimination in Employment Act, the Equal Pay Act, the Genetic Information Nondiscrimination Act, and the Pregnant Workers Fairness Act. Each statute has its own coverage, elements, administrative requirements, defenses, and remedies.</w:t>
      </w:r>
    </w:p>
    <w:p w14:paraId="220BE0E1" w14:textId="77777777" w:rsidR="00BD5DE4" w:rsidRDefault="00FF1514">
      <w:r>
        <w:t>The first mistake to avoid is treating an EEOC charge as one generic type of case. The second is assuming that the facts are already understood simply because HR has the employee's personnel file. The legal theory and the factual record must be developed together.</w:t>
      </w:r>
    </w:p>
    <w:p w14:paraId="3CBEE1B1" w14:textId="77777777" w:rsidR="00BD5DE4" w:rsidRDefault="00FF1514">
      <w:pPr>
        <w:pStyle w:val="Heading1"/>
      </w:pPr>
      <w:r>
        <w:t>II. TITLE VII: THE CORE EMPLOYMENT-DISCRIMINATION STATUTE</w:t>
      </w:r>
    </w:p>
    <w:p w14:paraId="01E527DC" w14:textId="77777777" w:rsidR="00BD5DE4" w:rsidRDefault="00FF1514">
      <w:pPr>
        <w:pStyle w:val="Heading2"/>
      </w:pPr>
      <w:r>
        <w:t>A. Protected Characteristics</w:t>
      </w:r>
    </w:p>
    <w:p w14:paraId="4F36CD41" w14:textId="77777777" w:rsidR="00BD5DE4" w:rsidRDefault="00FF1514">
      <w:r>
        <w:t>Title VII prohibits covered employers from discriminating against an individual because of race, color, religion, sex, or national origin. 42 U.S.C. § 2000e-2(a). It also prohibits retaliation for opposing conduct made unlawful by Title VII or participating in a Title VII investigation or proceeding. 42 U.S.C. § 2000e-3(a).</w:t>
      </w:r>
    </w:p>
    <w:p w14:paraId="046D2883" w14:textId="77777777" w:rsidR="00BD5DE4" w:rsidRDefault="00FF1514">
      <w:r>
        <w:t xml:space="preserve">A Title VII charge can arise from hiring, promotion, compensation, discipline, discharge, assignment, transfer, scheduling, training, or another term or condition of employment. It can also allege harassment or failure to reasonably accommodate </w:t>
      </w:r>
      <w:proofErr w:type="gramStart"/>
      <w:r>
        <w:t>a religious</w:t>
      </w:r>
      <w:proofErr w:type="gramEnd"/>
      <w:r>
        <w:t xml:space="preserve"> practice.</w:t>
      </w:r>
    </w:p>
    <w:p w14:paraId="6AB7D14D" w14:textId="77777777" w:rsidR="00BD5DE4" w:rsidRDefault="00FF1514">
      <w:pPr>
        <w:pStyle w:val="Heading2"/>
      </w:pPr>
      <w:r>
        <w:lastRenderedPageBreak/>
        <w:t>B. Race, Color, and National-Origin Claims</w:t>
      </w:r>
    </w:p>
    <w:p w14:paraId="28E55B27" w14:textId="77777777" w:rsidR="00BD5DE4" w:rsidRDefault="00FF1514">
      <w:r>
        <w:t xml:space="preserve">School districts should be especially careful with hiring, discipline, promotion, assignment, and RIF decisions because plaintiffs frequently rely on comparisons between employees. A defensible decision should be supported by legitimate, job-related criteria and evidence showing that the criteria were </w:t>
      </w:r>
      <w:proofErr w:type="gramStart"/>
      <w:r>
        <w:t>actually applied</w:t>
      </w:r>
      <w:proofErr w:type="gramEnd"/>
      <w:r>
        <w:t>.</w:t>
      </w:r>
    </w:p>
    <w:p w14:paraId="01E6BB64" w14:textId="77777777" w:rsidR="00BD5DE4" w:rsidRDefault="00FF1514">
      <w:r>
        <w:t>Where a plaintiff relies on circumstantial evidence, the familiar McDonnell Douglas framework may be relevant. McDonnell Douglas Corp. v. Green, 411 U.S. 792 (1973). The framework is a method of organizing proof, not a substitute for examining the underlying evidence and the ultimate question of discriminatory intent.</w:t>
      </w:r>
    </w:p>
    <w:p w14:paraId="0BAFA51A" w14:textId="77777777" w:rsidR="00BD5DE4" w:rsidRDefault="00FF1514">
      <w:pPr>
        <w:pStyle w:val="Heading2"/>
      </w:pPr>
      <w:r>
        <w:t>C. Sex Discrimination and Bostock</w:t>
      </w:r>
    </w:p>
    <w:p w14:paraId="6C5D8BA5" w14:textId="77777777" w:rsidR="00BD5DE4" w:rsidRDefault="00FF1514">
      <w:r>
        <w:t>Title VII prohibits discrimination because of sex. In Bostock v. Clayton County, 590 U.S. 644 (2020), the Supreme Court held that discrimination against an individual because of sexual orientation or transgender status is discrimination because of sex under Title VII.</w:t>
      </w:r>
    </w:p>
    <w:p w14:paraId="5BC3286D" w14:textId="77777777" w:rsidR="00BD5DE4" w:rsidRDefault="00FF1514">
      <w:r>
        <w:t>District policies and supervisor training should therefore avoid outdated assumptions about the scope of Title VII's sex-discrimination protections.</w:t>
      </w:r>
    </w:p>
    <w:p w14:paraId="68F2B2F0" w14:textId="77777777" w:rsidR="00BD5DE4" w:rsidRDefault="00FF1514">
      <w:pPr>
        <w:pStyle w:val="Heading1"/>
      </w:pPr>
      <w:r>
        <w:t>III. PREGNANCY, CHILDBIRTH, AND THE PWFA</w:t>
      </w:r>
    </w:p>
    <w:p w14:paraId="41C79D1E" w14:textId="77777777" w:rsidR="00BD5DE4" w:rsidRDefault="00FF1514">
      <w:r>
        <w:t>The Pregnancy Discrimination Act amended Title VII and prohibits discrimination because of pregnancy, childbirth, or related medical conditions. 42 U.S.C. § 2000e(k). The Pregnant Workers Fairness Act (PWFA), 42 U.S.C. § 2000gg et seq., separately requires covered employers to provide reasonable accommodations to qualified employees and applicants for known limitations related to pregnancy, childbirth, or related medical conditions, unless the accommodation causes an undue hardship.</w:t>
      </w:r>
    </w:p>
    <w:p w14:paraId="21E37260" w14:textId="77777777" w:rsidR="00BD5DE4" w:rsidRDefault="00FF1514">
      <w:r>
        <w:t>The PWFA is important because it creates an affirmative accommodation framework. A district should not treat every pregnancy-related request as merely a leave request or wait until the employee is unable to perform the job before considering accommodation.</w:t>
      </w:r>
    </w:p>
    <w:p w14:paraId="2DA784A0" w14:textId="77777777" w:rsidR="00BD5DE4" w:rsidRDefault="00FF1514">
      <w:r>
        <w:t xml:space="preserve">Examples of possible </w:t>
      </w:r>
      <w:proofErr w:type="gramStart"/>
      <w:r>
        <w:t>accommodations</w:t>
      </w:r>
      <w:proofErr w:type="gramEnd"/>
      <w:r>
        <w:t xml:space="preserve"> can include additional or longer breaks, seating, schedule modifications, temporary lifting restrictions, temporary reassignment of certain nonessential duties, access to water, and time for medical appointments. The appropriate accommodation depends on the employee's limitation, the job, the request, and the statute's requirements.</w:t>
      </w:r>
    </w:p>
    <w:p w14:paraId="0E97A700" w14:textId="77777777" w:rsidR="00BD5DE4" w:rsidRDefault="00FF1514">
      <w:r>
        <w:t xml:space="preserve">Supervisors should route pregnancy-related accommodation requests to HR or the person designated to handle accommodations. They should not make an on-the-spot legal conclusion that </w:t>
      </w:r>
      <w:proofErr w:type="gramStart"/>
      <w:r>
        <w:t>an accommodation</w:t>
      </w:r>
      <w:proofErr w:type="gramEnd"/>
      <w:r>
        <w:t xml:space="preserve"> is unnecessary or impossible.</w:t>
      </w:r>
    </w:p>
    <w:p w14:paraId="6AEE594E" w14:textId="77777777" w:rsidR="00BD5DE4" w:rsidRDefault="00FF1514">
      <w:r>
        <w:t>Because the PWFA's regulations and agency guidance have been subject to litigation and policy changes, counsel should confirm the operative federal regulations and current EEOC guidance before relying on regulatory examples in a live matter.</w:t>
      </w:r>
    </w:p>
    <w:p w14:paraId="54E4E8EA" w14:textId="77777777" w:rsidR="00BD5DE4" w:rsidRDefault="00FF1514">
      <w:pPr>
        <w:pStyle w:val="Heading1"/>
      </w:pPr>
      <w:r>
        <w:t>IV. ADA AND DISABILITY ACCOMMODATION</w:t>
      </w:r>
    </w:p>
    <w:p w14:paraId="6CC84248" w14:textId="77777777" w:rsidR="00BD5DE4" w:rsidRDefault="00FF1514">
      <w:r>
        <w:t xml:space="preserve">Title I of the ADA prohibits discrimination against a qualified individual </w:t>
      </w:r>
      <w:proofErr w:type="gramStart"/>
      <w:r>
        <w:t>on the basis of</w:t>
      </w:r>
      <w:proofErr w:type="gramEnd"/>
      <w:r>
        <w:t xml:space="preserve"> disability and requires reasonable accommodation unless the accommodation </w:t>
      </w:r>
      <w:proofErr w:type="gramStart"/>
      <w:r>
        <w:t>would impose</w:t>
      </w:r>
      <w:proofErr w:type="gramEnd"/>
      <w:r>
        <w:t xml:space="preserve"> an undue hardship. 42 U.S.C. §§ 12111–12112.</w:t>
      </w:r>
    </w:p>
    <w:p w14:paraId="59A3A5DD" w14:textId="77777777" w:rsidR="00BD5DE4" w:rsidRDefault="00FF1514">
      <w:pPr>
        <w:pStyle w:val="Heading2"/>
      </w:pPr>
      <w:r>
        <w:t>A. Recognizing a Request</w:t>
      </w:r>
    </w:p>
    <w:p w14:paraId="761EE3BA" w14:textId="77777777" w:rsidR="00BD5DE4" w:rsidRDefault="00FF1514">
      <w:r>
        <w:t xml:space="preserve">An employee does not have to say “ADA” or “reasonable accommodation” to raise an accommodation issue. If the employee communicates a limitation and a need for workplace assistance, the district should determine whether </w:t>
      </w:r>
      <w:proofErr w:type="gramStart"/>
      <w:r>
        <w:t>the communication</w:t>
      </w:r>
      <w:proofErr w:type="gramEnd"/>
      <w:r>
        <w:t xml:space="preserve"> triggers the accommodation process.</w:t>
      </w:r>
    </w:p>
    <w:p w14:paraId="1A134B9C" w14:textId="77777777" w:rsidR="00BD5DE4" w:rsidRDefault="00FF1514">
      <w:pPr>
        <w:pStyle w:val="Heading2"/>
      </w:pPr>
      <w:r>
        <w:lastRenderedPageBreak/>
        <w:t>B. Essential Functions</w:t>
      </w:r>
    </w:p>
    <w:p w14:paraId="71486EDE" w14:textId="77777777" w:rsidR="00BD5DE4" w:rsidRDefault="00FF1514">
      <w:r>
        <w:t xml:space="preserve">The district should identify the essential functions of the position before deciding whether </w:t>
      </w:r>
      <w:proofErr w:type="gramStart"/>
      <w:r>
        <w:t>an accommodation</w:t>
      </w:r>
      <w:proofErr w:type="gramEnd"/>
      <w:r>
        <w:t xml:space="preserve"> works. Job descriptions are useful evidence, but actual job duties and operational realities matter. A job description written years earlier should not automatically control the analysis.</w:t>
      </w:r>
    </w:p>
    <w:p w14:paraId="02D23AA1" w14:textId="77777777" w:rsidR="00BD5DE4" w:rsidRDefault="00FF1514">
      <w:pPr>
        <w:pStyle w:val="Heading2"/>
      </w:pPr>
      <w:r>
        <w:t>C. Interactive Process</w:t>
      </w:r>
    </w:p>
    <w:p w14:paraId="561FEF41" w14:textId="77777777" w:rsidR="00BD5DE4" w:rsidRDefault="00FF1514">
      <w:r>
        <w:t xml:space="preserve">The district should communicate with the employee about limitations and potential </w:t>
      </w:r>
      <w:proofErr w:type="gramStart"/>
      <w:r>
        <w:t>accommodations</w:t>
      </w:r>
      <w:proofErr w:type="gramEnd"/>
      <w:r>
        <w:t xml:space="preserve"> in good faith. Document the request, information considered, alternatives explored, and reason for the final decision. Avoid categorical denials before the district understands the request.</w:t>
      </w:r>
    </w:p>
    <w:p w14:paraId="222A765F" w14:textId="77777777" w:rsidR="00BD5DE4" w:rsidRDefault="00FF1514">
      <w:pPr>
        <w:pStyle w:val="Heading2"/>
      </w:pPr>
      <w:r>
        <w:t>D. FMLA Exhaustion Does Not Automatically End ADA Analysis</w:t>
      </w:r>
    </w:p>
    <w:p w14:paraId="520BD840" w14:textId="77777777" w:rsidR="00BD5DE4" w:rsidRDefault="00FF1514">
      <w:r>
        <w:t>An employee who exhausts FMLA leave may still have rights under the ADA. The district should analyze whether additional leave or another accommodation is reasonable rather than treating FMLA exhaustion as an automatic termination date.</w:t>
      </w:r>
    </w:p>
    <w:p w14:paraId="2B7402DE" w14:textId="77777777" w:rsidR="00BD5DE4" w:rsidRDefault="00FF1514">
      <w:pPr>
        <w:pStyle w:val="Heading1"/>
      </w:pPr>
      <w:r>
        <w:t>V. RELIGIOUS ACCOMMODATION AFTER GROFF</w:t>
      </w:r>
    </w:p>
    <w:p w14:paraId="1C9EBC8B" w14:textId="77777777" w:rsidR="00BD5DE4" w:rsidRDefault="00FF1514">
      <w:r>
        <w:t xml:space="preserve">Title VII requires reasonable accommodation </w:t>
      </w:r>
      <w:proofErr w:type="gramStart"/>
      <w:r>
        <w:t>of</w:t>
      </w:r>
      <w:proofErr w:type="gramEnd"/>
      <w:r>
        <w:t xml:space="preserve"> an employee's sincerely held religious observance or practice unless doing so would impose an undue hardship. In Groff v. DeJoy, 600 U.S. 447 (2023), the Supreme Court clarified the undue-hardship inquiry and rejected the notion that an employer may deny a religious accommodation based merely on a de minimis cost.</w:t>
      </w:r>
    </w:p>
    <w:p w14:paraId="10B3D553" w14:textId="77777777" w:rsidR="00BD5DE4" w:rsidRDefault="00FF1514">
      <w:r>
        <w:t>For school districts, religious-accommodation issues can arise with work schedules, holidays, dress, grooming, prayer, and other religious practices. Supervisors should not dismiss a request as “just a preference.” HR should assess whether the practice is religious, whether it is sincerely held, what accommodation is sought, and whether the proposed accommodation creates an undue hardship under the governing standard.</w:t>
      </w:r>
    </w:p>
    <w:p w14:paraId="5E0B86CD" w14:textId="77777777" w:rsidR="00BD5DE4" w:rsidRDefault="00FF1514">
      <w:r>
        <w:t>The district should also consider alternatives. If the requested accommodation creates operational difficulties, identify the actual burden and discuss possible alternatives rather than simply saying “we cannot do that.”</w:t>
      </w:r>
    </w:p>
    <w:p w14:paraId="7B3F4268" w14:textId="77777777" w:rsidR="00BD5DE4" w:rsidRDefault="00FF1514">
      <w:pPr>
        <w:pStyle w:val="Heading1"/>
      </w:pPr>
      <w:r>
        <w:t>VI. AGE DISCRIMINATION</w:t>
      </w:r>
    </w:p>
    <w:p w14:paraId="44E38B1D" w14:textId="77777777" w:rsidR="00BD5DE4" w:rsidRDefault="00FF1514">
      <w:r>
        <w:t>The ADEA protects individuals who are age 40 or older from discrimination because of age. 29 U.S.C. § 623. It is frequently implicated in hiring, promotion, discipline, succession planning, retirement-related decisions, compensation, and RIFs.</w:t>
      </w:r>
    </w:p>
    <w:p w14:paraId="685CB09F" w14:textId="77777777" w:rsidR="00BD5DE4" w:rsidRDefault="00FF1514">
      <w:r>
        <w:t>In Gross v. FBL Financial Services, Inc., 557 U.S. 167 (2009), the Supreme Court held that an ADEA plaintiff must prove that age was the but-for cause of the challenged adverse action.</w:t>
      </w:r>
    </w:p>
    <w:p w14:paraId="46F0C2D7" w14:textId="77777777" w:rsidR="00BD5DE4" w:rsidRDefault="00FF1514">
      <w:r>
        <w:t>Avoid age-coded language such as “fresh,” “young energy,” “too close to retirement,” or “we need someone who will be here for the long haul.” Even when a district has a legitimate operational objective, careless language can become evidence in a discrimination case.</w:t>
      </w:r>
    </w:p>
    <w:p w14:paraId="1D6F8E58" w14:textId="77777777" w:rsidR="00BD5DE4" w:rsidRDefault="00FF1514">
      <w:pPr>
        <w:pStyle w:val="Heading1"/>
      </w:pPr>
      <w:r>
        <w:t>VII. OTHER EEOC-ENFORCED EMPLOYMENT LAWS</w:t>
      </w:r>
    </w:p>
    <w:p w14:paraId="5BB49072" w14:textId="77777777" w:rsidR="00BD5DE4" w:rsidRDefault="00FF1514">
      <w:pPr>
        <w:pStyle w:val="Heading2"/>
      </w:pPr>
      <w:r>
        <w:t>A. Equal Pay Act</w:t>
      </w:r>
    </w:p>
    <w:p w14:paraId="39165462" w14:textId="77777777" w:rsidR="00BD5DE4" w:rsidRDefault="00FF1514">
      <w:r>
        <w:t>The Equal Pay Act prohibits sex-based wage disparities between employees performing equal work under the conditions specified by the statute. 29 U.S.C. § 206(d). The statute has its own proof and limitations rules and should not automatically be treated as a Title VII claim.</w:t>
      </w:r>
    </w:p>
    <w:p w14:paraId="28B00DD1" w14:textId="77777777" w:rsidR="00BD5DE4" w:rsidRDefault="00FF1514">
      <w:pPr>
        <w:pStyle w:val="Heading2"/>
      </w:pPr>
      <w:r>
        <w:lastRenderedPageBreak/>
        <w:t>B. GINA</w:t>
      </w:r>
    </w:p>
    <w:p w14:paraId="050ED914" w14:textId="77777777" w:rsidR="00BD5DE4" w:rsidRDefault="00FF1514">
      <w:r>
        <w:t>The Genetic Information Nondiscrimination Act prohibits covered employers from discriminating based on genetic information and restricts the acquisition and disclosure of genetic information. 42 U.S.C. § 2000ff et seq. HR should be particularly careful about medical-history questions and the handling of family medical information.</w:t>
      </w:r>
    </w:p>
    <w:p w14:paraId="25AA990D" w14:textId="77777777" w:rsidR="00BD5DE4" w:rsidRDefault="00FF1514">
      <w:pPr>
        <w:pStyle w:val="Heading2"/>
      </w:pPr>
      <w:r>
        <w:t>C. FMLA—Not an EEOC Statute, But Often in the Same File</w:t>
      </w:r>
    </w:p>
    <w:p w14:paraId="1CBE57D3" w14:textId="77777777" w:rsidR="00BD5DE4" w:rsidRDefault="00FF1514">
      <w:r>
        <w:t>The EEOC does not enforce the FMLA. The U.S. Department of Labor administers and enforces the FMLA. Nevertheless, FMLA issues frequently overlap with ADA, PWFA, and retaliation issues. HR should therefore recognize when a leave request requires review under more than one statute.</w:t>
      </w:r>
    </w:p>
    <w:p w14:paraId="4D3BF3CC" w14:textId="77777777" w:rsidR="00BD5DE4" w:rsidRDefault="00FF1514">
      <w:pPr>
        <w:pStyle w:val="Heading1"/>
      </w:pPr>
      <w:r>
        <w:t>VIII. THE FIRST 72 HOURS AFTER AN EEOC CHARGE</w:t>
      </w:r>
    </w:p>
    <w:p w14:paraId="1004B127" w14:textId="77777777" w:rsidR="00BD5DE4" w:rsidRDefault="00FF1514">
      <w:pPr>
        <w:pStyle w:val="Heading2"/>
      </w:pPr>
      <w:r>
        <w:t>1. Calendar the Deadline</w:t>
      </w:r>
    </w:p>
    <w:p w14:paraId="1F0CE90E" w14:textId="77777777" w:rsidR="00BD5DE4" w:rsidRDefault="00FF1514">
      <w:r>
        <w:t>Record the date the charge was received and the response deadline immediately. If an extension is necessary, request it promptly through the appropriate EEOC process.</w:t>
      </w:r>
    </w:p>
    <w:p w14:paraId="4D55874A" w14:textId="77777777" w:rsidR="00BD5DE4" w:rsidRDefault="00FF1514">
      <w:pPr>
        <w:pStyle w:val="Heading2"/>
      </w:pPr>
      <w:r>
        <w:t>2. Identify the Claims</w:t>
      </w:r>
    </w:p>
    <w:p w14:paraId="65340D7A" w14:textId="77777777" w:rsidR="00BD5DE4" w:rsidRDefault="00FF1514">
      <w:r>
        <w:t>Read the charge carefully. Identify each protected characteristic, each challenged action, the relevant dates, and whether retaliation or accommodation is alleged.</w:t>
      </w:r>
    </w:p>
    <w:p w14:paraId="18F5FB3B" w14:textId="77777777" w:rsidR="00BD5DE4" w:rsidRDefault="00FF1514">
      <w:pPr>
        <w:pStyle w:val="Heading2"/>
      </w:pPr>
      <w:r>
        <w:t>3. Preserve Evidence</w:t>
      </w:r>
    </w:p>
    <w:p w14:paraId="2FB3CE37" w14:textId="77777777" w:rsidR="00BD5DE4" w:rsidRDefault="00FF1514">
      <w:r>
        <w:t>Identify and preserve potentially relevant records. These may include personnel records, evaluations, disciplinary records, hiring materials, interview notes, payroll records, leave and accommodation communications, emails, text messages used for district business, calendars, electronic HR records, and other electronically stored information.</w:t>
      </w:r>
    </w:p>
    <w:p w14:paraId="1FFAEE45" w14:textId="77777777" w:rsidR="00BD5DE4" w:rsidRDefault="00FF1514">
      <w:pPr>
        <w:pStyle w:val="Heading2"/>
      </w:pPr>
      <w:r>
        <w:t>4. Identify Decision-Makers</w:t>
      </w:r>
    </w:p>
    <w:p w14:paraId="7893A22F" w14:textId="77777777" w:rsidR="00BD5DE4" w:rsidRDefault="00FF1514">
      <w:r>
        <w:t xml:space="preserve">Determine who </w:t>
      </w:r>
      <w:proofErr w:type="gramStart"/>
      <w:r>
        <w:t>actually made</w:t>
      </w:r>
      <w:proofErr w:type="gramEnd"/>
      <w:r>
        <w:t xml:space="preserve"> the challenged decision and who influenced it. The person who signed the final document may not be the only relevant decision-maker.</w:t>
      </w:r>
    </w:p>
    <w:p w14:paraId="52C1CC1A" w14:textId="77777777" w:rsidR="00BD5DE4" w:rsidRDefault="00FF1514">
      <w:pPr>
        <w:pStyle w:val="Heading2"/>
      </w:pPr>
      <w:r>
        <w:t>5. Protect Against Retaliation</w:t>
      </w:r>
    </w:p>
    <w:p w14:paraId="6FBFD1FE" w14:textId="77777777" w:rsidR="00BD5DE4" w:rsidRDefault="00FF1514">
      <w:r>
        <w:t>Remind supervisors that the employee's protected activity does not immunize the employee from legitimate discipline, but it does make subsequent adverse actions especially sensitive. Any post-charge action should have an independent factual basis and appropriate review.</w:t>
      </w:r>
    </w:p>
    <w:p w14:paraId="2CE7E13B" w14:textId="77777777" w:rsidR="00BD5DE4" w:rsidRDefault="00FF1514">
      <w:pPr>
        <w:pStyle w:val="Heading2"/>
      </w:pPr>
      <w:r>
        <w:t>6. Contact Counsel When Appropriate</w:t>
      </w:r>
    </w:p>
    <w:p w14:paraId="56B853BF" w14:textId="77777777" w:rsidR="00BD5DE4" w:rsidRDefault="00FF1514">
      <w:r>
        <w:t>Counsel should be involved early when the charge alleges termination, harassment, retaliation, disability or pregnancy accommodation, significant damages, systemic issues, or conduct by senior leadership; when privilege or preservation issues arise; or when litigation appears likely.</w:t>
      </w:r>
    </w:p>
    <w:p w14:paraId="7871B2E1" w14:textId="77777777" w:rsidR="00BD5DE4" w:rsidRDefault="00FF1514">
      <w:pPr>
        <w:pStyle w:val="Heading1"/>
      </w:pPr>
      <w:r>
        <w:t>IX. ADMINISTRATIVE EXHAUSTION AND FILING DEADLINES</w:t>
      </w:r>
    </w:p>
    <w:p w14:paraId="3CE8628A" w14:textId="77777777" w:rsidR="00BD5DE4" w:rsidRDefault="00FF1514">
      <w:r>
        <w:t>Do not give employees a one-size-fits-all answer about whether an EEOC charge is required. Administrative prerequisites vary by statute.</w:t>
      </w:r>
    </w:p>
    <w:p w14:paraId="3A192B43" w14:textId="77777777" w:rsidR="00BD5DE4" w:rsidRDefault="00FF1514">
      <w:r>
        <w:t>Title VII and the ADA generally require an employee to file an EEOC charge before filing suit in federal court. In a jurisdiction such as Louisiana with a qualifying state fair-employment-practice agency, the charge-filing period is generally 300 days after the challenged employment practice. 42 U.S.C. § 2000e-5(e)(1); 42 U.S.C. § 12117(a). Counsel should confirm the precise limitations rule for the claim.</w:t>
      </w:r>
    </w:p>
    <w:p w14:paraId="729D8F17" w14:textId="77777777" w:rsidR="00BD5DE4" w:rsidRDefault="00FF1514">
      <w:r>
        <w:t xml:space="preserve">The ADEA is different. An ADEA plaintiff generally must file a charge with the EEOC before </w:t>
      </w:r>
      <w:proofErr w:type="gramStart"/>
      <w:r>
        <w:t>suit in</w:t>
      </w:r>
      <w:proofErr w:type="gramEnd"/>
      <w:r>
        <w:t xml:space="preserve"> a private-sector or state/local-government case, but the ADEA does not use the same right-to-sue-notice procedure as Title </w:t>
      </w:r>
      <w:r>
        <w:lastRenderedPageBreak/>
        <w:t>VII. A claimant generally must wait at least 60 days after filing the charge before filing suit and must satisfy the applicable limitations period. 29 U.S.C. § 626(d).</w:t>
      </w:r>
    </w:p>
    <w:p w14:paraId="218758D2" w14:textId="77777777" w:rsidR="00BD5DE4" w:rsidRDefault="00FF1514">
      <w:r>
        <w:t>The Equal Pay Act generally does not require an EEOC charge before suit. 29 U.S.C. § 216(b).</w:t>
      </w:r>
    </w:p>
    <w:p w14:paraId="606746AE" w14:textId="77777777" w:rsidR="00BD5DE4" w:rsidRDefault="00FF1514">
      <w:r>
        <w:t>Where a right-to-</w:t>
      </w:r>
      <w:proofErr w:type="gramStart"/>
      <w:r>
        <w:t>sue</w:t>
      </w:r>
      <w:proofErr w:type="gramEnd"/>
      <w:r>
        <w:t xml:space="preserve"> notice is required, Title VII and ADA claims generally must be filed within 90 days after receipt of the notice. 42 U.S.C. § 2000e-5(f)(1); 42 U.S.C. § 12117(a). The district should not attempt to calculate an employee's litigation deadline from assumptions; counsel should confirm it </w:t>
      </w:r>
      <w:proofErr w:type="gramStart"/>
      <w:r>
        <w:t>from</w:t>
      </w:r>
      <w:proofErr w:type="gramEnd"/>
      <w:r>
        <w:t xml:space="preserve"> the actual charge and agency documents.</w:t>
      </w:r>
    </w:p>
    <w:p w14:paraId="750F6B9B" w14:textId="77777777" w:rsidR="00BD5DE4" w:rsidRDefault="00FF1514">
      <w:pPr>
        <w:pStyle w:val="Heading1"/>
      </w:pPr>
      <w:r>
        <w:t>X. INVESTIGATE BEFORE YOU ARGUE</w:t>
      </w:r>
    </w:p>
    <w:p w14:paraId="6BA016D0" w14:textId="77777777" w:rsidR="00BD5DE4" w:rsidRDefault="00FF1514">
      <w:r>
        <w:t>The position statement should be the product of an investigation—not a substitute for one.</w:t>
      </w:r>
    </w:p>
    <w:p w14:paraId="77980CFD" w14:textId="77777777" w:rsidR="00BD5DE4" w:rsidRDefault="00FF1514">
      <w:pPr>
        <w:pStyle w:val="Heading2"/>
      </w:pPr>
      <w:r>
        <w:t>A. Build a Chronology</w:t>
      </w:r>
    </w:p>
    <w:p w14:paraId="1F37479D" w14:textId="77777777" w:rsidR="00BD5DE4" w:rsidRDefault="00FF1514">
      <w:r>
        <w:t>Prepare a timeline beginning before the alleged discriminatory event and continuing through the filing of the charge. Include complaints, evaluations, leave, accommodation requests, disciplinary events, relevant communications, comparator events, and the challenged decision.</w:t>
      </w:r>
    </w:p>
    <w:p w14:paraId="26C315B3" w14:textId="77777777" w:rsidR="00BD5DE4" w:rsidRDefault="00FF1514">
      <w:pPr>
        <w:pStyle w:val="Heading2"/>
      </w:pPr>
      <w:r>
        <w:t>B. Determine What the Decision-Maker Knew</w:t>
      </w:r>
    </w:p>
    <w:p w14:paraId="25242854" w14:textId="77777777" w:rsidR="00BD5DE4" w:rsidRDefault="00FF1514">
      <w:r>
        <w:t xml:space="preserve">Identify what the decision-maker knew at the time of the decision. </w:t>
      </w:r>
      <w:proofErr w:type="gramStart"/>
      <w:r>
        <w:t>Later-discovered</w:t>
      </w:r>
      <w:proofErr w:type="gramEnd"/>
      <w:r>
        <w:t xml:space="preserve"> information may be relevant to litigation, but it may not establish the reason for the original decision.</w:t>
      </w:r>
    </w:p>
    <w:p w14:paraId="772BF01C" w14:textId="77777777" w:rsidR="00BD5DE4" w:rsidRDefault="00FF1514">
      <w:pPr>
        <w:pStyle w:val="Heading2"/>
      </w:pPr>
      <w:r>
        <w:t>C. Find the Real Reason</w:t>
      </w:r>
    </w:p>
    <w:p w14:paraId="6BA75AF4" w14:textId="77777777" w:rsidR="00BD5DE4" w:rsidRDefault="00FF1514">
      <w:r>
        <w:t>Ask what the actual reason was, whether it was documented at the time, whether it was communicated to the employee, whether it was consistent with policy, and whether the same criteria were applied to others.</w:t>
      </w:r>
    </w:p>
    <w:p w14:paraId="0E593B5A" w14:textId="77777777" w:rsidR="00BD5DE4" w:rsidRDefault="00FF1514">
      <w:pPr>
        <w:pStyle w:val="Heading2"/>
      </w:pPr>
      <w:r>
        <w:t>D. Analyze Comparators</w:t>
      </w:r>
    </w:p>
    <w:p w14:paraId="1046B727" w14:textId="77777777" w:rsidR="00BD5DE4" w:rsidRDefault="00FF1514">
      <w:r>
        <w:t>If the employee claims that another employee was treated better, identify the proposed comparator and examine whether the employees were similarly situated in the respects that matter. Differences should be supported by evidence.</w:t>
      </w:r>
    </w:p>
    <w:p w14:paraId="03ED0347" w14:textId="77777777" w:rsidR="00BD5DE4" w:rsidRDefault="00FF1514">
      <w:pPr>
        <w:pStyle w:val="Heading2"/>
      </w:pPr>
      <w:r>
        <w:t>E. Interview Witnesses</w:t>
      </w:r>
    </w:p>
    <w:p w14:paraId="36A35F6F" w14:textId="77777777" w:rsidR="00BD5DE4" w:rsidRDefault="00FF1514">
      <w:r>
        <w:t>Interview relevant witnesses and document their firsthand knowledge. For sensitive matters, consider whether counsel or an independent investigator should conduct the investigation.</w:t>
      </w:r>
    </w:p>
    <w:p w14:paraId="3490F859" w14:textId="77777777" w:rsidR="00BD5DE4" w:rsidRDefault="00FF1514">
      <w:pPr>
        <w:pStyle w:val="Heading1"/>
      </w:pPr>
      <w:r>
        <w:t>XI. THE POSITION STATEMENT</w:t>
      </w:r>
    </w:p>
    <w:p w14:paraId="38942BB3" w14:textId="77777777" w:rsidR="00BD5DE4" w:rsidRDefault="00FF1514">
      <w:r>
        <w:t>The position statement is an opportunity to explain the district's response to the charge. It should be accurate, focused, organized, and supported by appropriate documentation.</w:t>
      </w:r>
    </w:p>
    <w:p w14:paraId="275D42CD" w14:textId="77777777" w:rsidR="00BD5DE4" w:rsidRDefault="00FF1514">
      <w:pPr>
        <w:pStyle w:val="Heading2"/>
      </w:pPr>
      <w:r>
        <w:t>A. Address Every Allegation</w:t>
      </w:r>
    </w:p>
    <w:p w14:paraId="3FD884F8" w14:textId="77777777" w:rsidR="00BD5DE4" w:rsidRDefault="00FF1514">
      <w:r>
        <w:t>Respond to each allegation directly. If the charge alleges discriminatory termination, explain the termination. If it alleges retaliation, explain the protected activity and chronology. If it alleges failure to accommodate, address the request and the accommodation process.</w:t>
      </w:r>
    </w:p>
    <w:p w14:paraId="7071F768" w14:textId="77777777" w:rsidR="00BD5DE4" w:rsidRDefault="00FF1514">
      <w:pPr>
        <w:pStyle w:val="Heading2"/>
      </w:pPr>
      <w:r>
        <w:t>B. Tell a Coherent Story</w:t>
      </w:r>
    </w:p>
    <w:p w14:paraId="5F2D3E66" w14:textId="77777777" w:rsidR="00BD5DE4" w:rsidRDefault="00FF1514">
      <w:r>
        <w:t>Use headings, a concise chronology, and exhibit references. The investigator should not have to reconstruct the district's defense from an unorganized production.</w:t>
      </w:r>
    </w:p>
    <w:p w14:paraId="65BFC55D" w14:textId="77777777" w:rsidR="00BD5DE4" w:rsidRDefault="00FF1514">
      <w:pPr>
        <w:pStyle w:val="Heading2"/>
      </w:pPr>
      <w:r>
        <w:t>C. Do Not Over-Argue</w:t>
      </w:r>
    </w:p>
    <w:p w14:paraId="090379B9" w14:textId="77777777" w:rsidR="00BD5DE4" w:rsidRDefault="00FF1514">
      <w:r>
        <w:t>Avoid sarcasm, personal attacks, speculation, and conclusory assertions that are unsupported by documents or witness testimony.</w:t>
      </w:r>
    </w:p>
    <w:p w14:paraId="65616820" w14:textId="77777777" w:rsidR="00BD5DE4" w:rsidRDefault="00FF1514">
      <w:pPr>
        <w:pStyle w:val="Heading2"/>
      </w:pPr>
      <w:r>
        <w:lastRenderedPageBreak/>
        <w:t>D. Do Not Create a New Reason</w:t>
      </w:r>
    </w:p>
    <w:p w14:paraId="64E47D1F" w14:textId="77777777" w:rsidR="00BD5DE4" w:rsidRDefault="00FF1514">
      <w:r>
        <w:t xml:space="preserve">The </w:t>
      </w:r>
      <w:proofErr w:type="gramStart"/>
      <w:r>
        <w:t>strongest position</w:t>
      </w:r>
      <w:proofErr w:type="gramEnd"/>
      <w:r>
        <w:t xml:space="preserve"> statement usually explains the reason the district </w:t>
      </w:r>
      <w:proofErr w:type="gramStart"/>
      <w:r>
        <w:t>actually relied</w:t>
      </w:r>
      <w:proofErr w:type="gramEnd"/>
      <w:r>
        <w:t xml:space="preserve"> upon when the decision was made. If the district discovers a legitimate reason only after the charge, counsel should carefully evaluate how to present that fact rather than rewriting history.</w:t>
      </w:r>
    </w:p>
    <w:p w14:paraId="2CA104E0" w14:textId="77777777" w:rsidR="00BD5DE4" w:rsidRDefault="00FF1514">
      <w:pPr>
        <w:pStyle w:val="Heading2"/>
      </w:pPr>
      <w:r>
        <w:t>E. Remember That Credibility Matters</w:t>
      </w:r>
    </w:p>
    <w:p w14:paraId="3844CD75" w14:textId="77777777" w:rsidR="00BD5DE4" w:rsidRDefault="00FF1514">
      <w:r>
        <w:t>A position statement that concedes an obvious error may be more credible than one that denies facts the records clearly establish. Credibility is part of the defense.</w:t>
      </w:r>
    </w:p>
    <w:p w14:paraId="428AD14D" w14:textId="77777777" w:rsidR="00BD5DE4" w:rsidRDefault="00FF1514">
      <w:pPr>
        <w:pStyle w:val="Heading1"/>
      </w:pPr>
      <w:r>
        <w:t>XII. RETALIATION: THE CLAIM THAT CAN COME BACK TO HAUNT YOU</w:t>
      </w:r>
    </w:p>
    <w:p w14:paraId="628C61F8" w14:textId="77777777" w:rsidR="00BD5DE4" w:rsidRDefault="00FF1514">
      <w:r>
        <w:t>Retaliation is a separate cause of action under several federal statutes. Title VII prohibits retaliation against an employee because the employee opposed conduct made unlawful by Title VII or participated in a Title VII investigation or proceeding. 42 U.S.C. § 2000e-3(a).</w:t>
      </w:r>
    </w:p>
    <w:p w14:paraId="3E974F9E" w14:textId="77777777" w:rsidR="00BD5DE4" w:rsidRDefault="00FF1514">
      <w:r>
        <w:t>In Burlington Northern &amp; Santa Fe Railway Co. v. White, 548 U.S. 53 (2006), the Supreme Court explained that Title VII's retaliation provision is not limited to ultimate employment decisions. The relevant standard asks whether the challenged action might have dissuaded a reasonable worker from making or supporting a discrimination charge.</w:t>
      </w:r>
    </w:p>
    <w:p w14:paraId="4DD64926" w14:textId="77777777" w:rsidR="00BD5DE4" w:rsidRDefault="00FF1514">
      <w:r>
        <w:t>In University of Texas Southwestern Medical Center v. Nassar, 570 U.S. 338 (2013), the Supreme Court held that Title VII retaliation requires proof that the protected activity was a but-for cause of the challenged action.</w:t>
      </w:r>
    </w:p>
    <w:p w14:paraId="30C10E19" w14:textId="77777777" w:rsidR="00BD5DE4" w:rsidRDefault="00FF1514">
      <w:r>
        <w:t>For school districts, the practical rule is simple: after a complaint, scrutinize proposed discipline, transfers, schedule changes, evaluations, denials of opportunities, references, and other materially adverse actions. The district can still manage and discipline employees; it should be able to show why the action was taken and why the same conduct would have produced the same result absent protected activity.</w:t>
      </w:r>
    </w:p>
    <w:p w14:paraId="7946A002" w14:textId="77777777" w:rsidR="00BD5DE4" w:rsidRDefault="00FF1514">
      <w:pPr>
        <w:pStyle w:val="Heading1"/>
      </w:pPr>
      <w:r>
        <w:t>XIII. MULDROW: NOT EVERY TITLE VII CASE REQUIRES A TERMINATION</w:t>
      </w:r>
    </w:p>
    <w:p w14:paraId="25755F25" w14:textId="77777777" w:rsidR="00BD5DE4" w:rsidRDefault="00FF1514">
      <w:r>
        <w:t>In Muldrow v. City of St. Louis, 601 U.S. 346 (2024), the Supreme Court held that an employee challenging a transfer under Title VII must show some harm respecting an identifiable term or condition of employment, but the harm need not be significant, serious, or substantial.</w:t>
      </w:r>
    </w:p>
    <w:p w14:paraId="22CFD001" w14:textId="77777777" w:rsidR="00BD5DE4" w:rsidRDefault="00FF1514">
      <w:r>
        <w:t>For school districts, the lesson is to take transfers, reassignments, schedules, duties, and other changes seriously. A district should not assume that an action is outside Title VII merely because salary and title remain unchanged.</w:t>
      </w:r>
    </w:p>
    <w:p w14:paraId="196B8DBB" w14:textId="77777777" w:rsidR="00BD5DE4" w:rsidRDefault="00FF1514">
      <w:r>
        <w:t>When reviewing a challenged action, ask: What changed? Why did it change? Who made the decision? What evidence supported it? Were similarly situated employees treated differently?</w:t>
      </w:r>
    </w:p>
    <w:p w14:paraId="4E2910D4" w14:textId="77777777" w:rsidR="00BD5DE4" w:rsidRDefault="00FF1514">
      <w:pPr>
        <w:pStyle w:val="Heading1"/>
      </w:pPr>
      <w:r>
        <w:t>XIV. HARASSMENT AND HOSTILE WORK ENVIRONMENT</w:t>
      </w:r>
    </w:p>
    <w:p w14:paraId="18778350" w14:textId="77777777" w:rsidR="00BD5DE4" w:rsidRDefault="00FF1514">
      <w:r>
        <w:t>Not every rude, unfair, or offensive workplace interaction violates federal law. But once a district receives a credible complaint that conduct is connected to a protected characteristic, it should investigate rather than making a quick merits determination.</w:t>
      </w:r>
    </w:p>
    <w:p w14:paraId="3BF555ED" w14:textId="77777777" w:rsidR="00BD5DE4" w:rsidRDefault="00FF1514">
      <w:r>
        <w:t>Harris v. Forklift Systems, Inc., 510 U.S. 17 (1993), explains that the work environment must be objectively and subjectively hostile or abusive under the circumstances. Faragher v. City of Boca Raton, 524 U.S. 775 (1998), and Burlington Industries, Inc. v. Ellerth, 524 U.S. 742 (1998), address employer liability and the significance of reasonable preventive and corrective measures in appropriate cases.</w:t>
      </w:r>
    </w:p>
    <w:p w14:paraId="4DEE31F9" w14:textId="77777777" w:rsidR="00BD5DE4" w:rsidRDefault="00FF1514">
      <w:r>
        <w:t>Districts should maintain multiple reporting channels, train supervisors, investigate promptly, document corrective action, and protect complainants and witnesses from retaliation.</w:t>
      </w:r>
    </w:p>
    <w:p w14:paraId="4600053C" w14:textId="77777777" w:rsidR="00BD5DE4" w:rsidRDefault="00FF1514">
      <w:pPr>
        <w:pStyle w:val="Heading1"/>
      </w:pPr>
      <w:r>
        <w:lastRenderedPageBreak/>
        <w:t>XV. DOCUMENTATION: YOUR BEST FRIEND OR YOUR WORST ENEMY</w:t>
      </w:r>
    </w:p>
    <w:p w14:paraId="09D5983B" w14:textId="77777777" w:rsidR="00BD5DE4" w:rsidRDefault="00FF1514">
      <w:r>
        <w:t>Documentation is powerful when it is contemporaneous, accurate, consistent, and tied to legitimate employment criteria. It becomes dangerous when it appears manufactured, exaggerated, or inconsistent.</w:t>
      </w:r>
    </w:p>
    <w:p w14:paraId="623DC335" w14:textId="77777777" w:rsidR="00BD5DE4" w:rsidRDefault="00FF1514">
      <w:pPr>
        <w:pStyle w:val="ListBullet"/>
        <w:spacing w:after="40"/>
      </w:pPr>
      <w:r>
        <w:t>Hiring: preserve job postings, applications, interview criteria, scoring materials, qualifications, and selection rationale.</w:t>
      </w:r>
    </w:p>
    <w:p w14:paraId="7676B5CC" w14:textId="77777777" w:rsidR="00BD5DE4" w:rsidRDefault="00FF1514">
      <w:pPr>
        <w:pStyle w:val="ListBullet"/>
        <w:spacing w:after="40"/>
      </w:pPr>
      <w:r>
        <w:t>Performance: document both positive and negative performance throughout the year.</w:t>
      </w:r>
    </w:p>
    <w:p w14:paraId="43294261" w14:textId="77777777" w:rsidR="00BD5DE4" w:rsidRDefault="00FF1514">
      <w:pPr>
        <w:pStyle w:val="ListBullet"/>
        <w:spacing w:after="40"/>
      </w:pPr>
      <w:r>
        <w:t>Discipline: identify the policy, conduct, evidence, employee response, and reason for the discipline.</w:t>
      </w:r>
    </w:p>
    <w:p w14:paraId="20E4530A" w14:textId="77777777" w:rsidR="00BD5DE4" w:rsidRDefault="00FF1514">
      <w:pPr>
        <w:pStyle w:val="ListBullet"/>
        <w:spacing w:after="40"/>
      </w:pPr>
      <w:r>
        <w:t>Promotion: document the qualifications and criteria used.</w:t>
      </w:r>
    </w:p>
    <w:p w14:paraId="72526B44" w14:textId="77777777" w:rsidR="00BD5DE4" w:rsidRDefault="00FF1514">
      <w:pPr>
        <w:pStyle w:val="ListBullet"/>
        <w:spacing w:after="40"/>
      </w:pPr>
      <w:r>
        <w:t>Transfers/assignments: record the legitimate operational reason and decision-maker.</w:t>
      </w:r>
    </w:p>
    <w:p w14:paraId="5EE9F83A" w14:textId="77777777" w:rsidR="00BD5DE4" w:rsidRDefault="00FF1514">
      <w:pPr>
        <w:pStyle w:val="ListBullet"/>
        <w:spacing w:after="40"/>
      </w:pPr>
      <w:r>
        <w:t xml:space="preserve">Accommodation: </w:t>
      </w:r>
      <w:proofErr w:type="gramStart"/>
      <w:r>
        <w:t>document</w:t>
      </w:r>
      <w:proofErr w:type="gramEnd"/>
      <w:r>
        <w:t xml:space="preserve"> the request, communications, alternatives considered, and final decision.</w:t>
      </w:r>
    </w:p>
    <w:p w14:paraId="50E4B1E5" w14:textId="77777777" w:rsidR="00BD5DE4" w:rsidRDefault="00FF1514">
      <w:pPr>
        <w:pStyle w:val="ListBullet"/>
        <w:spacing w:after="40"/>
      </w:pPr>
      <w:r>
        <w:t xml:space="preserve">Complaints: </w:t>
      </w:r>
      <w:proofErr w:type="gramStart"/>
      <w:r>
        <w:t>document</w:t>
      </w:r>
      <w:proofErr w:type="gramEnd"/>
      <w:r>
        <w:t xml:space="preserve"> who received the complaint, what was investigated, and what corrective action was taken.</w:t>
      </w:r>
    </w:p>
    <w:p w14:paraId="70897C73" w14:textId="77777777" w:rsidR="00BD5DE4" w:rsidRDefault="00FF1514">
      <w:pPr>
        <w:pStyle w:val="ListBullet"/>
        <w:spacing w:after="40"/>
      </w:pPr>
      <w:r>
        <w:t>Electronic records: remember that relevant evidence may exist outside the formal personnel file.</w:t>
      </w:r>
    </w:p>
    <w:p w14:paraId="657834F2" w14:textId="77777777" w:rsidR="00BD5DE4" w:rsidRDefault="00FF1514">
      <w:r>
        <w:t>Avoid the temptation to create a negative paper trail immediately after protected activity merely to strengthen the defense. If performance problems genuinely occur, document them accurately. Timing and tone will be scrutinized.</w:t>
      </w:r>
    </w:p>
    <w:p w14:paraId="4F941AC7" w14:textId="77777777" w:rsidR="00BD5DE4" w:rsidRDefault="00FF1514">
      <w:pPr>
        <w:pStyle w:val="Heading1"/>
      </w:pPr>
      <w:r>
        <w:t>XVI. REDUCTIONS IN FORCE AND OTHER LARGE-SCALE DECISIONS</w:t>
      </w:r>
    </w:p>
    <w:p w14:paraId="7FD42F96" w14:textId="77777777" w:rsidR="00BD5DE4" w:rsidRDefault="00FF1514">
      <w:proofErr w:type="gramStart"/>
      <w:r>
        <w:t>A RIF</w:t>
      </w:r>
      <w:proofErr w:type="gramEnd"/>
      <w:r>
        <w:t xml:space="preserve"> can be lawful and necessary, but the selection process should be structured before individuals are selected.</w:t>
      </w:r>
    </w:p>
    <w:p w14:paraId="0A3291E5" w14:textId="77777777" w:rsidR="00BD5DE4" w:rsidRDefault="00FF1514">
      <w:pPr>
        <w:pStyle w:val="ListBullet"/>
        <w:spacing w:after="40"/>
      </w:pPr>
      <w:r>
        <w:t>Establish neutral, legitimate selection criteria in advance.</w:t>
      </w:r>
    </w:p>
    <w:p w14:paraId="5113B02B" w14:textId="77777777" w:rsidR="00BD5DE4" w:rsidRDefault="00FF1514">
      <w:pPr>
        <w:pStyle w:val="ListBullet"/>
        <w:spacing w:after="40"/>
      </w:pPr>
      <w:r>
        <w:t>Identify authorized decision-makers.</w:t>
      </w:r>
    </w:p>
    <w:p w14:paraId="7B5A4160" w14:textId="77777777" w:rsidR="00BD5DE4" w:rsidRDefault="00FF1514">
      <w:pPr>
        <w:pStyle w:val="ListBullet"/>
        <w:spacing w:after="40"/>
      </w:pPr>
      <w:r>
        <w:t>Apply the criteria consistently.</w:t>
      </w:r>
    </w:p>
    <w:p w14:paraId="508B0552" w14:textId="77777777" w:rsidR="00BD5DE4" w:rsidRDefault="00FF1514">
      <w:pPr>
        <w:pStyle w:val="ListBullet"/>
        <w:spacing w:after="40"/>
      </w:pPr>
      <w:r>
        <w:t>Review the results for potential patterns involving race, sex, age, disability, pregnancy, religion, national origin, or protected activity.</w:t>
      </w:r>
    </w:p>
    <w:p w14:paraId="005807F7" w14:textId="77777777" w:rsidR="00BD5DE4" w:rsidRDefault="00FF1514">
      <w:pPr>
        <w:pStyle w:val="ListBullet"/>
        <w:spacing w:after="40"/>
      </w:pPr>
      <w:r>
        <w:t>Preserve the underlying data and selection materials.</w:t>
      </w:r>
    </w:p>
    <w:p w14:paraId="4C3634CB" w14:textId="77777777" w:rsidR="00BD5DE4" w:rsidRDefault="00FF1514">
      <w:pPr>
        <w:pStyle w:val="ListBullet"/>
        <w:spacing w:after="40"/>
      </w:pPr>
      <w:r>
        <w:t>Document the legitimate operational or financial reason for the reduction.</w:t>
      </w:r>
    </w:p>
    <w:p w14:paraId="56943413" w14:textId="77777777" w:rsidR="00BD5DE4" w:rsidRDefault="00FF1514">
      <w:r>
        <w:t>Avoid statements such as “we need younger teachers,” “we need more energy,” or “we need people who will be here longer.” Legitimate operational goals should be expressed through objective, job-related criteria.</w:t>
      </w:r>
    </w:p>
    <w:p w14:paraId="0E9EAD73" w14:textId="77777777" w:rsidR="00BD5DE4" w:rsidRDefault="00FF1514">
      <w:pPr>
        <w:pStyle w:val="Heading1"/>
      </w:pPr>
      <w:r>
        <w:t>XVII. SUPERVISORS: THE FIRST LINE OF DEFENSE</w:t>
      </w:r>
    </w:p>
    <w:p w14:paraId="7870C182" w14:textId="77777777" w:rsidR="00BD5DE4" w:rsidRDefault="00FF1514">
      <w:r>
        <w:t xml:space="preserve">Many EEOC claims </w:t>
      </w:r>
      <w:proofErr w:type="gramStart"/>
      <w:r>
        <w:t>are</w:t>
      </w:r>
      <w:proofErr w:type="gramEnd"/>
      <w:r>
        <w:t xml:space="preserve"> created before HR </w:t>
      </w:r>
      <w:proofErr w:type="gramStart"/>
      <w:r>
        <w:t>learns</w:t>
      </w:r>
      <w:proofErr w:type="gramEnd"/>
      <w:r>
        <w:t xml:space="preserve"> there is a problem. Principals, assistant principals, coaches, department heads, and other supervisors should receive practical training—not just a policy document.</w:t>
      </w:r>
    </w:p>
    <w:p w14:paraId="18BC82ED" w14:textId="77777777" w:rsidR="00BD5DE4" w:rsidRDefault="00FF1514">
      <w:pPr>
        <w:pStyle w:val="ListBullet"/>
        <w:spacing w:after="40"/>
      </w:pPr>
      <w:r>
        <w:t>Recognize discrimination and harassment complaints.</w:t>
      </w:r>
    </w:p>
    <w:p w14:paraId="12F78AC1" w14:textId="77777777" w:rsidR="00BD5DE4" w:rsidRDefault="00FF1514">
      <w:pPr>
        <w:pStyle w:val="ListBullet"/>
        <w:spacing w:after="40"/>
      </w:pPr>
      <w:r>
        <w:t>Route accommodation requests promptly.</w:t>
      </w:r>
    </w:p>
    <w:p w14:paraId="3D92BA9F" w14:textId="77777777" w:rsidR="00BD5DE4" w:rsidRDefault="00FF1514">
      <w:pPr>
        <w:pStyle w:val="ListBullet"/>
        <w:spacing w:after="40"/>
      </w:pPr>
      <w:r>
        <w:t>Recognize protected activity and avoid retaliation.</w:t>
      </w:r>
    </w:p>
    <w:p w14:paraId="410E3B8E" w14:textId="77777777" w:rsidR="00BD5DE4" w:rsidRDefault="00FF1514">
      <w:pPr>
        <w:pStyle w:val="ListBullet"/>
        <w:spacing w:after="40"/>
      </w:pPr>
      <w:r>
        <w:t>Document performance accurately and consistently.</w:t>
      </w:r>
    </w:p>
    <w:p w14:paraId="5A0F8F99" w14:textId="77777777" w:rsidR="00BD5DE4" w:rsidRDefault="00FF1514">
      <w:pPr>
        <w:pStyle w:val="ListBullet"/>
        <w:spacing w:after="40"/>
      </w:pPr>
      <w:r>
        <w:t>Apply policies consistently.</w:t>
      </w:r>
    </w:p>
    <w:p w14:paraId="2204D8B2" w14:textId="77777777" w:rsidR="00BD5DE4" w:rsidRDefault="00FF1514">
      <w:pPr>
        <w:pStyle w:val="ListBullet"/>
        <w:spacing w:after="40"/>
      </w:pPr>
      <w:r>
        <w:t>Do not make promises about job security or legal rights.</w:t>
      </w:r>
    </w:p>
    <w:p w14:paraId="2EF9DEA9" w14:textId="77777777" w:rsidR="00BD5DE4" w:rsidRDefault="00FF1514">
      <w:pPr>
        <w:pStyle w:val="ListBullet"/>
        <w:spacing w:after="40"/>
      </w:pPr>
      <w:r>
        <w:t>Protect confidential personnel information.</w:t>
      </w:r>
    </w:p>
    <w:p w14:paraId="42DFC380" w14:textId="77777777" w:rsidR="00BD5DE4" w:rsidRDefault="00FF1514">
      <w:pPr>
        <w:pStyle w:val="ListBullet"/>
        <w:spacing w:after="40"/>
      </w:pPr>
      <w:r>
        <w:t>Contact HR before significant adverse action.</w:t>
      </w:r>
    </w:p>
    <w:p w14:paraId="1D5BD1A1" w14:textId="77777777" w:rsidR="00BD5DE4" w:rsidRDefault="00FF1514">
      <w:pPr>
        <w:pStyle w:val="Heading1"/>
      </w:pPr>
      <w:r>
        <w:t>XVIII. MEDIATION AND EARLY RESOLUTION</w:t>
      </w:r>
    </w:p>
    <w:p w14:paraId="6685D5F1" w14:textId="77777777" w:rsidR="00BD5DE4" w:rsidRDefault="00FF1514">
      <w:r>
        <w:t>The EEOC may offer mediation or other opportunities for early resolution. Participation should be evaluated strategically. Consider the strength of the evidence, potential damages, defense costs, attorney fees, employee relations, operational disruption, and the likelihood that the matter will proceed to litigation.</w:t>
      </w:r>
    </w:p>
    <w:p w14:paraId="376D7131" w14:textId="77777777" w:rsidR="00BD5DE4" w:rsidRDefault="00FF1514">
      <w:r>
        <w:lastRenderedPageBreak/>
        <w:t>Mediation is not an admission of wrongdoing. Likewise, declining mediation is not a declaration that the district is certain to win. The decision should be based on the facts and the district's objectives.</w:t>
      </w:r>
    </w:p>
    <w:p w14:paraId="7C9C3B31" w14:textId="77777777" w:rsidR="00BD5DE4" w:rsidRDefault="00FF1514">
      <w:pPr>
        <w:pStyle w:val="Heading1"/>
      </w:pPr>
      <w:r>
        <w:t>XIX. DAMAGES AND PRACTICAL EXPOSURE</w:t>
      </w:r>
    </w:p>
    <w:p w14:paraId="1097B134" w14:textId="77777777" w:rsidR="00BD5DE4" w:rsidRDefault="00FF1514">
      <w:r>
        <w:t>Potential remedies vary by statute. Depending on the claim, exposure can include back pay, front pay, reinstatement, equitable or injunctive relief, compensatory damages, punitive damages, liquidated damages, and attorneys' fees.</w:t>
      </w:r>
    </w:p>
    <w:p w14:paraId="2675C8AC" w14:textId="77777777" w:rsidR="00BD5DE4" w:rsidRDefault="00FF1514">
      <w:r>
        <w:t>Title VII and the ADA contain statutory caps on compensatory and punitive damages for certain claims, with the cap generally depending on the employer's size. 42 U.S.C. § 1981a(b)(3). Those caps do not apply to every category of relief and should not be treated as a universal ceiling on the cost of a case.</w:t>
      </w:r>
    </w:p>
    <w:p w14:paraId="0FA02B7B" w14:textId="77777777" w:rsidR="00BD5DE4" w:rsidRDefault="00FF1514">
      <w:r>
        <w:t xml:space="preserve">ADEA cases can involve back pay, equitable relief, and, in appropriate circumstances, liquidated damages. The Equal Pay Act has its own </w:t>
      </w:r>
      <w:proofErr w:type="gramStart"/>
      <w:r>
        <w:t>damages</w:t>
      </w:r>
      <w:proofErr w:type="gramEnd"/>
      <w:r>
        <w:t xml:space="preserve"> structure. A district should evaluate both legal exposure and the practical cost of discovery, expert work, employee time, and attorneys' fees.</w:t>
      </w:r>
    </w:p>
    <w:p w14:paraId="0EB0BB9E" w14:textId="77777777" w:rsidR="00BD5DE4" w:rsidRDefault="00FF1514">
      <w:pPr>
        <w:pStyle w:val="Heading1"/>
      </w:pPr>
      <w:r>
        <w:t>XX. THE BAD BOYS CHECKLIST</w:t>
      </w:r>
    </w:p>
    <w:p w14:paraId="2D1A5D23" w14:textId="77777777" w:rsidR="00BD5DE4" w:rsidRDefault="00FF1514">
      <w:r>
        <w:t>When the EEOC comes for you, remember BAD BOYS:</w:t>
      </w:r>
    </w:p>
    <w:tbl>
      <w:tblPr>
        <w:tblStyle w:val="TableGrid"/>
        <w:tblW w:w="0" w:type="auto"/>
        <w:jc w:val="center"/>
        <w:tblLook w:val="04A0" w:firstRow="1" w:lastRow="0" w:firstColumn="1" w:lastColumn="0" w:noHBand="0" w:noVBand="1"/>
      </w:tblPr>
      <w:tblGrid>
        <w:gridCol w:w="4819"/>
        <w:gridCol w:w="4819"/>
      </w:tblGrid>
      <w:tr w:rsidR="00BD5DE4" w14:paraId="637B3EDD" w14:textId="77777777">
        <w:trPr>
          <w:jc w:val="center"/>
        </w:trPr>
        <w:tc>
          <w:tcPr>
            <w:tcW w:w="4824" w:type="dxa"/>
            <w:vAlign w:val="center"/>
          </w:tcPr>
          <w:p w14:paraId="6773DF27" w14:textId="77777777" w:rsidR="00BD5DE4" w:rsidRDefault="00FF1514">
            <w:pPr>
              <w:spacing w:after="40"/>
            </w:pPr>
            <w:r>
              <w:rPr>
                <w:b/>
                <w:sz w:val="19"/>
              </w:rPr>
              <w:t>B — BREATHE</w:t>
            </w:r>
          </w:p>
        </w:tc>
        <w:tc>
          <w:tcPr>
            <w:tcW w:w="4824" w:type="dxa"/>
            <w:vAlign w:val="center"/>
          </w:tcPr>
          <w:p w14:paraId="6344DA65" w14:textId="77777777" w:rsidR="00BD5DE4" w:rsidRDefault="00FF1514">
            <w:pPr>
              <w:spacing w:after="40"/>
            </w:pPr>
            <w:r>
              <w:rPr>
                <w:sz w:val="19"/>
              </w:rPr>
              <w:t>A charge is an allegation, not a finding of liability. Slow down and organize.</w:t>
            </w:r>
          </w:p>
        </w:tc>
      </w:tr>
      <w:tr w:rsidR="00BD5DE4" w14:paraId="0D03B077" w14:textId="77777777">
        <w:trPr>
          <w:jc w:val="center"/>
        </w:trPr>
        <w:tc>
          <w:tcPr>
            <w:tcW w:w="4824" w:type="dxa"/>
            <w:vAlign w:val="center"/>
          </w:tcPr>
          <w:p w14:paraId="0A278CE3" w14:textId="77777777" w:rsidR="00BD5DE4" w:rsidRDefault="00FF1514">
            <w:pPr>
              <w:spacing w:after="40"/>
            </w:pPr>
            <w:r>
              <w:rPr>
                <w:b/>
                <w:sz w:val="19"/>
              </w:rPr>
              <w:t>A — ASSESS</w:t>
            </w:r>
          </w:p>
        </w:tc>
        <w:tc>
          <w:tcPr>
            <w:tcW w:w="4824" w:type="dxa"/>
            <w:vAlign w:val="center"/>
          </w:tcPr>
          <w:p w14:paraId="2A54A9D2" w14:textId="77777777" w:rsidR="00BD5DE4" w:rsidRDefault="00FF1514">
            <w:pPr>
              <w:spacing w:after="40"/>
            </w:pPr>
            <w:r>
              <w:rPr>
                <w:sz w:val="19"/>
              </w:rPr>
              <w:t>Identify claims, deadlines, decision-makers, witnesses, and immediate risks.</w:t>
            </w:r>
          </w:p>
        </w:tc>
      </w:tr>
      <w:tr w:rsidR="00BD5DE4" w14:paraId="54FCB533" w14:textId="77777777">
        <w:trPr>
          <w:jc w:val="center"/>
        </w:trPr>
        <w:tc>
          <w:tcPr>
            <w:tcW w:w="4824" w:type="dxa"/>
            <w:vAlign w:val="center"/>
          </w:tcPr>
          <w:p w14:paraId="61956A2B" w14:textId="77777777" w:rsidR="00BD5DE4" w:rsidRDefault="00FF1514">
            <w:pPr>
              <w:spacing w:after="40"/>
            </w:pPr>
            <w:r>
              <w:rPr>
                <w:b/>
                <w:sz w:val="19"/>
              </w:rPr>
              <w:t>D — DOCUMENT</w:t>
            </w:r>
          </w:p>
        </w:tc>
        <w:tc>
          <w:tcPr>
            <w:tcW w:w="4824" w:type="dxa"/>
            <w:vAlign w:val="center"/>
          </w:tcPr>
          <w:p w14:paraId="3C16E284" w14:textId="77777777" w:rsidR="00BD5DE4" w:rsidRDefault="00FF1514">
            <w:pPr>
              <w:spacing w:after="40"/>
            </w:pPr>
            <w:r>
              <w:rPr>
                <w:sz w:val="19"/>
              </w:rPr>
              <w:t>Preserve evidence and collect the records that existed when the decision was made.</w:t>
            </w:r>
          </w:p>
        </w:tc>
      </w:tr>
      <w:tr w:rsidR="00BD5DE4" w14:paraId="1BE8ECCD" w14:textId="77777777">
        <w:trPr>
          <w:jc w:val="center"/>
        </w:trPr>
        <w:tc>
          <w:tcPr>
            <w:tcW w:w="4824" w:type="dxa"/>
            <w:vAlign w:val="center"/>
          </w:tcPr>
          <w:p w14:paraId="7DC037CC" w14:textId="77777777" w:rsidR="00BD5DE4" w:rsidRDefault="00FF1514">
            <w:pPr>
              <w:spacing w:after="40"/>
            </w:pPr>
            <w:r>
              <w:rPr>
                <w:b/>
                <w:sz w:val="19"/>
              </w:rPr>
              <w:t>B — BUILD THE TIMELINE</w:t>
            </w:r>
          </w:p>
        </w:tc>
        <w:tc>
          <w:tcPr>
            <w:tcW w:w="4824" w:type="dxa"/>
            <w:vAlign w:val="center"/>
          </w:tcPr>
          <w:p w14:paraId="522977E2" w14:textId="77777777" w:rsidR="00BD5DE4" w:rsidRDefault="00FF1514">
            <w:pPr>
              <w:spacing w:after="40"/>
            </w:pPr>
            <w:r>
              <w:rPr>
                <w:sz w:val="19"/>
              </w:rPr>
              <w:t>Put the facts in chronological order before drafting the defense.</w:t>
            </w:r>
          </w:p>
        </w:tc>
      </w:tr>
      <w:tr w:rsidR="00BD5DE4" w14:paraId="59B791AE" w14:textId="77777777">
        <w:trPr>
          <w:jc w:val="center"/>
        </w:trPr>
        <w:tc>
          <w:tcPr>
            <w:tcW w:w="4824" w:type="dxa"/>
            <w:vAlign w:val="center"/>
          </w:tcPr>
          <w:p w14:paraId="51D123D4" w14:textId="77777777" w:rsidR="00BD5DE4" w:rsidRDefault="00FF1514">
            <w:pPr>
              <w:spacing w:after="40"/>
            </w:pPr>
            <w:r>
              <w:rPr>
                <w:b/>
                <w:sz w:val="19"/>
              </w:rPr>
              <w:t>O — OBSERVE RETALIATION RULES</w:t>
            </w:r>
          </w:p>
        </w:tc>
        <w:tc>
          <w:tcPr>
            <w:tcW w:w="4824" w:type="dxa"/>
            <w:vAlign w:val="center"/>
          </w:tcPr>
          <w:p w14:paraId="5F584E0F" w14:textId="77777777" w:rsidR="00BD5DE4" w:rsidRDefault="00FF1514">
            <w:pPr>
              <w:spacing w:after="40"/>
            </w:pPr>
            <w:r>
              <w:rPr>
                <w:sz w:val="19"/>
              </w:rPr>
              <w:t>Protect the charging party and witnesses while preserving legitimate management rights.</w:t>
            </w:r>
          </w:p>
        </w:tc>
      </w:tr>
      <w:tr w:rsidR="00BD5DE4" w14:paraId="0186051F" w14:textId="77777777">
        <w:trPr>
          <w:jc w:val="center"/>
        </w:trPr>
        <w:tc>
          <w:tcPr>
            <w:tcW w:w="4824" w:type="dxa"/>
            <w:vAlign w:val="center"/>
          </w:tcPr>
          <w:p w14:paraId="725CA031" w14:textId="77777777" w:rsidR="00BD5DE4" w:rsidRDefault="00FF1514">
            <w:pPr>
              <w:spacing w:after="40"/>
            </w:pPr>
            <w:proofErr w:type="gramStart"/>
            <w:r>
              <w:rPr>
                <w:b/>
                <w:sz w:val="19"/>
              </w:rPr>
              <w:t>Y — YOUR</w:t>
            </w:r>
            <w:proofErr w:type="gramEnd"/>
            <w:r>
              <w:rPr>
                <w:b/>
                <w:sz w:val="19"/>
              </w:rPr>
              <w:t xml:space="preserve"> EXPLANATION MUST BE CONSISTENT</w:t>
            </w:r>
          </w:p>
        </w:tc>
        <w:tc>
          <w:tcPr>
            <w:tcW w:w="4824" w:type="dxa"/>
            <w:vAlign w:val="center"/>
          </w:tcPr>
          <w:p w14:paraId="667A6BCA" w14:textId="77777777" w:rsidR="00BD5DE4" w:rsidRDefault="00FF1514">
            <w:pPr>
              <w:spacing w:after="40"/>
            </w:pPr>
            <w:r>
              <w:rPr>
                <w:sz w:val="19"/>
              </w:rPr>
              <w:t>The position statement should match the evidence and the district's actual reason.</w:t>
            </w:r>
          </w:p>
        </w:tc>
      </w:tr>
      <w:tr w:rsidR="00BD5DE4" w14:paraId="70CF98DE" w14:textId="77777777">
        <w:trPr>
          <w:jc w:val="center"/>
        </w:trPr>
        <w:tc>
          <w:tcPr>
            <w:tcW w:w="4824" w:type="dxa"/>
            <w:vAlign w:val="center"/>
          </w:tcPr>
          <w:p w14:paraId="0D7F167C" w14:textId="77777777" w:rsidR="00BD5DE4" w:rsidRDefault="00FF1514">
            <w:pPr>
              <w:spacing w:after="40"/>
            </w:pPr>
            <w:r>
              <w:rPr>
                <w:b/>
                <w:sz w:val="19"/>
              </w:rPr>
              <w:t>S — SEEK COUNSEL</w:t>
            </w:r>
          </w:p>
        </w:tc>
        <w:tc>
          <w:tcPr>
            <w:tcW w:w="4824" w:type="dxa"/>
            <w:vAlign w:val="center"/>
          </w:tcPr>
          <w:p w14:paraId="5F8E4A91" w14:textId="77777777" w:rsidR="00BD5DE4" w:rsidRDefault="00FF1514">
            <w:pPr>
              <w:spacing w:after="40"/>
            </w:pPr>
            <w:r>
              <w:rPr>
                <w:sz w:val="19"/>
              </w:rPr>
              <w:t xml:space="preserve">Bring </w:t>
            </w:r>
            <w:proofErr w:type="gramStart"/>
            <w:r>
              <w:rPr>
                <w:sz w:val="19"/>
              </w:rPr>
              <w:t>counsel in</w:t>
            </w:r>
            <w:proofErr w:type="gramEnd"/>
            <w:r>
              <w:rPr>
                <w:sz w:val="19"/>
              </w:rPr>
              <w:t xml:space="preserve"> early when legal, privilege, preservation, or litigation risk warrants it.</w:t>
            </w:r>
          </w:p>
        </w:tc>
      </w:tr>
    </w:tbl>
    <w:p w14:paraId="67286C5D" w14:textId="77777777" w:rsidR="00BD5DE4" w:rsidRDefault="00FF1514">
      <w:pPr>
        <w:pStyle w:val="Heading1"/>
      </w:pPr>
      <w:r>
        <w:t>XXI. TEN THINGS NOT TO DO AFTER AN EEOC CHARGE</w:t>
      </w:r>
    </w:p>
    <w:p w14:paraId="14D22566" w14:textId="77777777" w:rsidR="00BD5DE4" w:rsidRDefault="00FF1514">
      <w:pPr>
        <w:pStyle w:val="ListNumber"/>
        <w:spacing w:after="40"/>
      </w:pPr>
      <w:r>
        <w:t>Ignore the charge or casually calendar the response deadline.</w:t>
      </w:r>
    </w:p>
    <w:p w14:paraId="5CF165F6" w14:textId="77777777" w:rsidR="00BD5DE4" w:rsidRDefault="00FF1514">
      <w:pPr>
        <w:pStyle w:val="ListNumber"/>
        <w:spacing w:after="40"/>
      </w:pPr>
      <w:r>
        <w:t>Delete emails, texts, files, or other potentially relevant evidence.</w:t>
      </w:r>
    </w:p>
    <w:p w14:paraId="33E17924" w14:textId="77777777" w:rsidR="00BD5DE4" w:rsidRDefault="00FF1514">
      <w:pPr>
        <w:pStyle w:val="ListNumber"/>
        <w:spacing w:after="40"/>
      </w:pPr>
      <w:r>
        <w:t>Tell the employee that filing a charge was a mistake.</w:t>
      </w:r>
    </w:p>
    <w:p w14:paraId="6BF12DB2" w14:textId="77777777" w:rsidR="00BD5DE4" w:rsidRDefault="00FF1514">
      <w:pPr>
        <w:pStyle w:val="ListNumber"/>
        <w:spacing w:after="40"/>
      </w:pPr>
      <w:r>
        <w:t>Create a sudden negative paper trail solely because a charge was filed.</w:t>
      </w:r>
    </w:p>
    <w:p w14:paraId="1E72FAC8" w14:textId="77777777" w:rsidR="00BD5DE4" w:rsidRDefault="00FF1514">
      <w:pPr>
        <w:pStyle w:val="ListNumber"/>
        <w:spacing w:after="40"/>
      </w:pPr>
      <w:r>
        <w:t>Let the accused supervisor control the entire investigation.</w:t>
      </w:r>
    </w:p>
    <w:p w14:paraId="3C0B7A89" w14:textId="77777777" w:rsidR="00BD5DE4" w:rsidRDefault="00FF1514">
      <w:pPr>
        <w:pStyle w:val="ListNumber"/>
        <w:spacing w:after="40"/>
      </w:pPr>
      <w:r>
        <w:t>Give the EEOC a reason that differs from the district's actual reason.</w:t>
      </w:r>
    </w:p>
    <w:p w14:paraId="1F68B63C" w14:textId="77777777" w:rsidR="00BD5DE4" w:rsidRDefault="00FF1514">
      <w:pPr>
        <w:pStyle w:val="ListNumber"/>
        <w:spacing w:after="40"/>
      </w:pPr>
      <w:r>
        <w:t>Assume a transfer or reassignment is harmless because salary and title did not change.</w:t>
      </w:r>
    </w:p>
    <w:p w14:paraId="0F23D4D2" w14:textId="77777777" w:rsidR="00BD5DE4" w:rsidRDefault="00FF1514">
      <w:pPr>
        <w:pStyle w:val="ListNumber"/>
        <w:spacing w:after="40"/>
      </w:pPr>
      <w:r>
        <w:t>Deny an accommodation request before determining which statute applies.</w:t>
      </w:r>
    </w:p>
    <w:p w14:paraId="6CA83887" w14:textId="77777777" w:rsidR="00BD5DE4" w:rsidRDefault="00FF1514">
      <w:pPr>
        <w:pStyle w:val="ListNumber"/>
        <w:spacing w:after="40"/>
      </w:pPr>
      <w:r>
        <w:t xml:space="preserve">Assume </w:t>
      </w:r>
      <w:proofErr w:type="gramStart"/>
      <w:r>
        <w:t>a RIF</w:t>
      </w:r>
      <w:proofErr w:type="gramEnd"/>
      <w:r>
        <w:t xml:space="preserve"> is safe simply because multiple employees are affected.</w:t>
      </w:r>
    </w:p>
    <w:p w14:paraId="0C8D94BF" w14:textId="77777777" w:rsidR="00BD5DE4" w:rsidRDefault="00FF1514">
      <w:pPr>
        <w:pStyle w:val="ListNumber"/>
        <w:spacing w:after="40"/>
      </w:pPr>
      <w:r>
        <w:t>Make the position statement more aggressive than the evidence supports.</w:t>
      </w:r>
    </w:p>
    <w:p w14:paraId="2E90270C" w14:textId="77777777" w:rsidR="00BD5DE4" w:rsidRDefault="00FF1514">
      <w:pPr>
        <w:pStyle w:val="Heading1"/>
      </w:pPr>
      <w:r>
        <w:t>XXII. CONCLUSION</w:t>
      </w:r>
    </w:p>
    <w:p w14:paraId="6B36D205" w14:textId="77777777" w:rsidR="00BD5DE4" w:rsidRDefault="00FF1514">
      <w:r>
        <w:t xml:space="preserve">The best defense to an EEOC charge begins before the charge. School </w:t>
      </w:r>
      <w:proofErr w:type="gramStart"/>
      <w:r>
        <w:t>districts that</w:t>
      </w:r>
      <w:proofErr w:type="gramEnd"/>
      <w:r>
        <w:t xml:space="preserve"> train supervisors, make decisions using legitimate criteria, document performance and employment actions, investigate complaints, </w:t>
      </w:r>
      <w:r>
        <w:lastRenderedPageBreak/>
        <w:t>recognize accommodation obligations, and protect employees from retaliation are better positioned when a charge arrives.</w:t>
      </w:r>
    </w:p>
    <w:p w14:paraId="312401C7" w14:textId="77777777" w:rsidR="00BD5DE4" w:rsidRDefault="00FF1514">
      <w:r>
        <w:t>When the EEOC comes for you, do not panic and do not become complacent. Calendar the deadline. Preserve the evidence. Identify the decision-makers. Investigate the facts. Protect against retaliation. Analyze the correct statute. Prepare a credible position statement. And involve counsel when appropriate.</w:t>
      </w:r>
    </w:p>
    <w:p w14:paraId="4D6501CA" w14:textId="77777777" w:rsidR="00BD5DE4" w:rsidRDefault="00FF1514">
      <w:r>
        <w:t>Ultimately, the strongest defense is a truthful one. If the decision was legitimate, the evidence should tell that story. If the district made a mistake, recognizing it early may create an opportunity to correct the problem before the cost increases.</w:t>
      </w:r>
    </w:p>
    <w:p w14:paraId="37027BB3" w14:textId="77777777" w:rsidR="00BD5DE4" w:rsidRDefault="00FF1514">
      <w:r>
        <w:t>So, what are you gonna do when the EEOC comes for you? Be ready.</w:t>
      </w:r>
    </w:p>
    <w:p w14:paraId="75504948" w14:textId="77777777" w:rsidR="00BD5DE4" w:rsidRDefault="00FF1514">
      <w:pPr>
        <w:pStyle w:val="Heading1"/>
      </w:pPr>
      <w:r>
        <w:t>SELECTED PRIMARY AUTHORITIES AND CASES</w:t>
      </w:r>
    </w:p>
    <w:p w14:paraId="24184565" w14:textId="77777777" w:rsidR="00BD5DE4" w:rsidRDefault="00FF1514">
      <w:pPr>
        <w:spacing w:after="60"/>
        <w:ind w:left="288" w:hanging="288"/>
      </w:pPr>
      <w:r>
        <w:rPr>
          <w:b/>
        </w:rPr>
        <w:t xml:space="preserve">Statutes: </w:t>
      </w:r>
      <w:r>
        <w:t>Title VII: 42 U.S.C. §§ 2000e–2000e-17.</w:t>
      </w:r>
    </w:p>
    <w:p w14:paraId="522AFF4B" w14:textId="77777777" w:rsidR="00BD5DE4" w:rsidRDefault="00FF1514">
      <w:pPr>
        <w:spacing w:after="60"/>
        <w:ind w:left="288" w:hanging="288"/>
      </w:pPr>
      <w:r>
        <w:rPr>
          <w:b/>
        </w:rPr>
        <w:t xml:space="preserve">Statutes: </w:t>
      </w:r>
      <w:r>
        <w:t>ADA: 42 U.S.C. §§ 12101–12213.</w:t>
      </w:r>
    </w:p>
    <w:p w14:paraId="5690C4A6" w14:textId="77777777" w:rsidR="00BD5DE4" w:rsidRDefault="00FF1514">
      <w:pPr>
        <w:spacing w:after="60"/>
        <w:ind w:left="288" w:hanging="288"/>
      </w:pPr>
      <w:r>
        <w:rPr>
          <w:b/>
        </w:rPr>
        <w:t xml:space="preserve">Statutes: </w:t>
      </w:r>
      <w:r>
        <w:t>ADEA: 29 U.S.C. §§ 621–634.</w:t>
      </w:r>
    </w:p>
    <w:p w14:paraId="0AD4FD6F" w14:textId="77777777" w:rsidR="00BD5DE4" w:rsidRDefault="00FF1514">
      <w:pPr>
        <w:spacing w:after="60"/>
        <w:ind w:left="288" w:hanging="288"/>
      </w:pPr>
      <w:r>
        <w:rPr>
          <w:b/>
        </w:rPr>
        <w:t xml:space="preserve">Statutes: </w:t>
      </w:r>
      <w:r>
        <w:t>Equal Pay Act: 29 U.S.C. § 206(d).</w:t>
      </w:r>
    </w:p>
    <w:p w14:paraId="280B38BC" w14:textId="77777777" w:rsidR="00BD5DE4" w:rsidRDefault="00FF1514">
      <w:pPr>
        <w:spacing w:after="60"/>
        <w:ind w:left="288" w:hanging="288"/>
      </w:pPr>
      <w:r>
        <w:rPr>
          <w:b/>
        </w:rPr>
        <w:t xml:space="preserve">Statutes: </w:t>
      </w:r>
      <w:r>
        <w:t>GINA: 42 U.S.C. §§ 2000ff–2000ff-11.</w:t>
      </w:r>
    </w:p>
    <w:p w14:paraId="518C3A9F" w14:textId="77777777" w:rsidR="00BD5DE4" w:rsidRDefault="00FF1514">
      <w:pPr>
        <w:spacing w:after="60"/>
        <w:ind w:left="288" w:hanging="288"/>
      </w:pPr>
      <w:r>
        <w:rPr>
          <w:b/>
        </w:rPr>
        <w:t xml:space="preserve">Statutes: </w:t>
      </w:r>
      <w:r>
        <w:t>PWFA: 42 U.S.C. §§ 2000gg–2000gg-6.</w:t>
      </w:r>
    </w:p>
    <w:p w14:paraId="0BB1B3B1" w14:textId="77777777" w:rsidR="00BD5DE4" w:rsidRDefault="00FF1514">
      <w:pPr>
        <w:spacing w:after="60"/>
        <w:ind w:left="288" w:hanging="288"/>
      </w:pPr>
      <w:r>
        <w:rPr>
          <w:b/>
        </w:rPr>
        <w:t xml:space="preserve">Statutes: </w:t>
      </w:r>
      <w:r>
        <w:t>PDA: 42 U.S.C. § 2000e(k).</w:t>
      </w:r>
    </w:p>
    <w:p w14:paraId="3B473D2E" w14:textId="77777777" w:rsidR="00BD5DE4" w:rsidRDefault="00FF1514">
      <w:pPr>
        <w:spacing w:after="60"/>
        <w:ind w:left="288" w:hanging="288"/>
      </w:pPr>
      <w:r>
        <w:rPr>
          <w:b/>
        </w:rPr>
        <w:t xml:space="preserve">Statutes: </w:t>
      </w:r>
      <w:r>
        <w:t>FMLA: 29 U.S.C. §§ 2601–2654 (administered by the U.S. Department of Labor).</w:t>
      </w:r>
    </w:p>
    <w:p w14:paraId="3702EA2C" w14:textId="77777777" w:rsidR="00BD5DE4" w:rsidRDefault="00FF1514">
      <w:pPr>
        <w:spacing w:after="60"/>
        <w:ind w:left="288" w:hanging="288"/>
      </w:pPr>
      <w:r>
        <w:rPr>
          <w:b/>
        </w:rPr>
        <w:t xml:space="preserve">Procedure: </w:t>
      </w:r>
      <w:r>
        <w:t>Title VII administrative exhaustion and right to sue: 42 U.S.C. § 2000e-5.</w:t>
      </w:r>
    </w:p>
    <w:p w14:paraId="05DE795F" w14:textId="77777777" w:rsidR="00BD5DE4" w:rsidRDefault="00FF1514">
      <w:pPr>
        <w:spacing w:after="60"/>
        <w:ind w:left="288" w:hanging="288"/>
      </w:pPr>
      <w:r>
        <w:rPr>
          <w:b/>
        </w:rPr>
        <w:t xml:space="preserve">Procedure: </w:t>
      </w:r>
      <w:r>
        <w:t>ADA incorporation of Title VII procedures: 42 U.S.C. § 12117(a).</w:t>
      </w:r>
    </w:p>
    <w:p w14:paraId="42E2EDC1" w14:textId="77777777" w:rsidR="00BD5DE4" w:rsidRDefault="00FF1514">
      <w:pPr>
        <w:spacing w:after="60"/>
        <w:ind w:left="288" w:hanging="288"/>
      </w:pPr>
      <w:r>
        <w:rPr>
          <w:b/>
        </w:rPr>
        <w:t xml:space="preserve">Procedure: </w:t>
      </w:r>
      <w:r>
        <w:t>ADEA administrative requirements: 29 U.S.C. § 626(d).</w:t>
      </w:r>
    </w:p>
    <w:p w14:paraId="16C7E074" w14:textId="77777777" w:rsidR="00BD5DE4" w:rsidRDefault="00FF1514">
      <w:pPr>
        <w:spacing w:after="60"/>
        <w:ind w:left="288" w:hanging="288"/>
      </w:pPr>
      <w:r>
        <w:rPr>
          <w:b/>
        </w:rPr>
        <w:t xml:space="preserve">Remedies: </w:t>
      </w:r>
      <w:r>
        <w:t>42 U.S.C. § 1981a.</w:t>
      </w:r>
    </w:p>
    <w:p w14:paraId="0CFA85BB" w14:textId="77777777" w:rsidR="00BD5DE4" w:rsidRDefault="00FF1514">
      <w:pPr>
        <w:spacing w:after="60"/>
        <w:ind w:left="288" w:hanging="288"/>
      </w:pPr>
      <w:r>
        <w:rPr>
          <w:b/>
        </w:rPr>
        <w:t xml:space="preserve">Case: </w:t>
      </w:r>
      <w:r>
        <w:t>McDonnell Douglas Corp. v. Green, 411 U.S. 792 (1973).</w:t>
      </w:r>
    </w:p>
    <w:p w14:paraId="01E90445" w14:textId="77777777" w:rsidR="00BD5DE4" w:rsidRDefault="00FF1514">
      <w:pPr>
        <w:spacing w:after="60"/>
        <w:ind w:left="288" w:hanging="288"/>
      </w:pPr>
      <w:r>
        <w:rPr>
          <w:b/>
        </w:rPr>
        <w:t xml:space="preserve">Case: </w:t>
      </w:r>
      <w:r>
        <w:t>Burlington Industries, Inc. v. Ellerth, 524 U.S. 742 (1998).</w:t>
      </w:r>
    </w:p>
    <w:p w14:paraId="63557A6B" w14:textId="77777777" w:rsidR="00BD5DE4" w:rsidRDefault="00FF1514">
      <w:pPr>
        <w:spacing w:after="60"/>
        <w:ind w:left="288" w:hanging="288"/>
      </w:pPr>
      <w:r>
        <w:rPr>
          <w:b/>
        </w:rPr>
        <w:t xml:space="preserve">Case: </w:t>
      </w:r>
      <w:r>
        <w:t>Faragher v. City of Boca Raton, 524 U.S. 775 (1998).</w:t>
      </w:r>
    </w:p>
    <w:p w14:paraId="61465348" w14:textId="77777777" w:rsidR="00BD5DE4" w:rsidRDefault="00FF1514">
      <w:pPr>
        <w:spacing w:after="60"/>
        <w:ind w:left="288" w:hanging="288"/>
      </w:pPr>
      <w:r>
        <w:rPr>
          <w:b/>
        </w:rPr>
        <w:t xml:space="preserve">Case: </w:t>
      </w:r>
      <w:r>
        <w:t>Harris v. Forklift Systems, Inc., 510 U.S. 17 (1993).</w:t>
      </w:r>
    </w:p>
    <w:p w14:paraId="61F5DE06" w14:textId="77777777" w:rsidR="00BD5DE4" w:rsidRDefault="00FF1514">
      <w:pPr>
        <w:spacing w:after="60"/>
        <w:ind w:left="288" w:hanging="288"/>
      </w:pPr>
      <w:r>
        <w:rPr>
          <w:b/>
        </w:rPr>
        <w:t xml:space="preserve">Case: </w:t>
      </w:r>
      <w:r>
        <w:t>Burlington Northern &amp; Santa Fe Railway Co. v. White, 548 U.S. 53 (2006).</w:t>
      </w:r>
    </w:p>
    <w:p w14:paraId="30538976" w14:textId="77777777" w:rsidR="00BD5DE4" w:rsidRDefault="00FF1514">
      <w:pPr>
        <w:spacing w:after="60"/>
        <w:ind w:left="288" w:hanging="288"/>
      </w:pPr>
      <w:r>
        <w:rPr>
          <w:b/>
        </w:rPr>
        <w:t xml:space="preserve">Case: </w:t>
      </w:r>
      <w:r>
        <w:t>Gross v. FBL Financial Services, Inc., 557 U.S. 167 (2009).</w:t>
      </w:r>
    </w:p>
    <w:p w14:paraId="0FCD4252" w14:textId="77777777" w:rsidR="00BD5DE4" w:rsidRDefault="00FF1514">
      <w:pPr>
        <w:spacing w:after="60"/>
        <w:ind w:left="288" w:hanging="288"/>
      </w:pPr>
      <w:r>
        <w:rPr>
          <w:b/>
        </w:rPr>
        <w:t xml:space="preserve">Case: </w:t>
      </w:r>
      <w:r>
        <w:t>University of Texas Southwestern Medical Center v. Nassar, 570 U.S. 338 (2013).</w:t>
      </w:r>
    </w:p>
    <w:p w14:paraId="5075FE15" w14:textId="77777777" w:rsidR="00BD5DE4" w:rsidRDefault="00FF1514">
      <w:pPr>
        <w:spacing w:after="60"/>
        <w:ind w:left="288" w:hanging="288"/>
      </w:pPr>
      <w:r>
        <w:rPr>
          <w:b/>
        </w:rPr>
        <w:t xml:space="preserve">Case: </w:t>
      </w:r>
      <w:r>
        <w:t>Bostock v. Clayton County, 590 U.S. 644 (2020).</w:t>
      </w:r>
    </w:p>
    <w:p w14:paraId="59A1519B" w14:textId="77777777" w:rsidR="00BD5DE4" w:rsidRDefault="00FF1514">
      <w:pPr>
        <w:spacing w:after="60"/>
        <w:ind w:left="288" w:hanging="288"/>
      </w:pPr>
      <w:r>
        <w:rPr>
          <w:b/>
        </w:rPr>
        <w:t xml:space="preserve">Case: </w:t>
      </w:r>
      <w:r>
        <w:t>Groff v. DeJoy, 600 U.S. 447 (2023).</w:t>
      </w:r>
    </w:p>
    <w:p w14:paraId="1CC48951" w14:textId="77777777" w:rsidR="00BD5DE4" w:rsidRDefault="00FF1514">
      <w:pPr>
        <w:spacing w:after="60"/>
        <w:ind w:left="288" w:hanging="288"/>
      </w:pPr>
      <w:r>
        <w:rPr>
          <w:b/>
        </w:rPr>
        <w:t xml:space="preserve">Case: </w:t>
      </w:r>
      <w:r>
        <w:t>Muldrow v. City of St. Louis, 601 U.S. 346 (2024).</w:t>
      </w:r>
    </w:p>
    <w:p w14:paraId="0CB99773" w14:textId="73DA0FA7" w:rsidR="00BD5DE4" w:rsidRDefault="00BD5DE4"/>
    <w:sectPr w:rsidR="00BD5DE4" w:rsidSect="00034616">
      <w:footerReference w:type="default" r:id="rId8"/>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B9D2E" w14:textId="77777777" w:rsidR="006D674D" w:rsidRDefault="006D674D">
      <w:pPr>
        <w:spacing w:after="0" w:line="240" w:lineRule="auto"/>
      </w:pPr>
      <w:r>
        <w:separator/>
      </w:r>
    </w:p>
  </w:endnote>
  <w:endnote w:type="continuationSeparator" w:id="0">
    <w:p w14:paraId="0FB5AFFD" w14:textId="77777777" w:rsidR="006D674D" w:rsidRDefault="006D6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39E2" w14:textId="7F4AD65F" w:rsidR="00BD5DE4" w:rsidRDefault="00FF1514">
    <w:pPr>
      <w:pStyle w:val="Footer"/>
      <w:jc w:val="center"/>
    </w:pPr>
    <w:r>
      <w:fldChar w:fldCharType="begin"/>
    </w:r>
    <w:r>
      <w:instrText>PAGE</w:instrText>
    </w:r>
    <w:r w:rsidR="00A07A55">
      <w:fldChar w:fldCharType="separate"/>
    </w:r>
    <w:r w:rsidR="00A07A5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D702C" w14:textId="77777777" w:rsidR="006D674D" w:rsidRDefault="006D674D">
      <w:pPr>
        <w:spacing w:after="0" w:line="240" w:lineRule="auto"/>
      </w:pPr>
      <w:r>
        <w:separator/>
      </w:r>
    </w:p>
  </w:footnote>
  <w:footnote w:type="continuationSeparator" w:id="0">
    <w:p w14:paraId="2D7E6E6B" w14:textId="77777777" w:rsidR="006D674D" w:rsidRDefault="006D67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2160225">
    <w:abstractNumId w:val="8"/>
  </w:num>
  <w:num w:numId="2" w16cid:durableId="2111659386">
    <w:abstractNumId w:val="6"/>
  </w:num>
  <w:num w:numId="3" w16cid:durableId="1572078758">
    <w:abstractNumId w:val="5"/>
  </w:num>
  <w:num w:numId="4" w16cid:durableId="874537274">
    <w:abstractNumId w:val="4"/>
  </w:num>
  <w:num w:numId="5" w16cid:durableId="336855127">
    <w:abstractNumId w:val="7"/>
  </w:num>
  <w:num w:numId="6" w16cid:durableId="1631668444">
    <w:abstractNumId w:val="3"/>
  </w:num>
  <w:num w:numId="7" w16cid:durableId="1485196481">
    <w:abstractNumId w:val="2"/>
  </w:num>
  <w:num w:numId="8" w16cid:durableId="353963577">
    <w:abstractNumId w:val="1"/>
  </w:num>
  <w:num w:numId="9" w16cid:durableId="737943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4D5A"/>
    <w:rsid w:val="00447081"/>
    <w:rsid w:val="006D674D"/>
    <w:rsid w:val="008D658A"/>
    <w:rsid w:val="00A07A55"/>
    <w:rsid w:val="00A4283D"/>
    <w:rsid w:val="00A477F3"/>
    <w:rsid w:val="00AA1D8D"/>
    <w:rsid w:val="00B47730"/>
    <w:rsid w:val="00BD5DE4"/>
    <w:rsid w:val="00CB0664"/>
    <w:rsid w:val="00FC693F"/>
    <w:rsid w:val="00FF15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B346CF"/>
  <w14:defaultImageDpi w14:val="300"/>
  <w15:docId w15:val="{5E90131D-6A96-9C41-B39C-9A8AF18E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enteredSubtitle">
    <w:name w:val="Centered Subtitle"/>
    <w:rPr>
      <w:rFonts w:ascii="Times New Roman" w:hAnsi="Times New Roman"/>
      <w:i/>
      <w:sz w:val="24"/>
    </w:rPr>
  </w:style>
  <w:style w:type="paragraph" w:customStyle="1" w:styleId="Small">
    <w:name w:val="Small"/>
    <w:rPr>
      <w:rFonts w:ascii="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4073</Words>
  <Characters>23218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Hayes, IV</cp:lastModifiedBy>
  <cp:revision>2</cp:revision>
  <dcterms:created xsi:type="dcterms:W3CDTF">2026-09-03T23:01:00Z</dcterms:created>
  <dcterms:modified xsi:type="dcterms:W3CDTF">2026-09-03T23:01:00Z</dcterms:modified>
  <cp:category/>
</cp:coreProperties>
</file>